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43813" w14:textId="77777777" w:rsidR="00646F79" w:rsidRDefault="00757261" w:rsidP="00646F79">
      <w:pPr>
        <w:spacing w:after="120"/>
        <w:rPr>
          <w:b/>
        </w:rPr>
      </w:pPr>
      <w:bookmarkStart w:id="0" w:name="_GoBack"/>
      <w:bookmarkEnd w:id="0"/>
      <w:r>
        <w:rPr>
          <w:b/>
        </w:rPr>
        <w:t xml:space="preserve">KARTA PRZEDMIOTU </w:t>
      </w:r>
    </w:p>
    <w:p w14:paraId="03881490" w14:textId="77777777" w:rsidR="00646F79" w:rsidRPr="00646F79" w:rsidRDefault="00646F79" w:rsidP="00646F79">
      <w:pPr>
        <w:spacing w:after="120"/>
      </w:pPr>
      <w:r w:rsidRPr="00646F79">
        <w:t>Cykl kształcenia od roku akademickiego:</w:t>
      </w:r>
    </w:p>
    <w:p w14:paraId="16897BC2" w14:textId="77777777" w:rsidR="003C473D" w:rsidRDefault="003C473D" w:rsidP="004F73CF">
      <w:pPr>
        <w:rPr>
          <w:b/>
        </w:rPr>
      </w:pPr>
    </w:p>
    <w:p w14:paraId="335D71BB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545"/>
        <w:gridCol w:w="4517"/>
      </w:tblGrid>
      <w:tr w:rsidR="00C371EB" w14:paraId="21A9ABA6" w14:textId="77777777" w:rsidTr="00C371EB">
        <w:tc>
          <w:tcPr>
            <w:tcW w:w="4545" w:type="dxa"/>
          </w:tcPr>
          <w:p w14:paraId="22E0EBE0" w14:textId="77777777" w:rsidR="00C371EB" w:rsidRDefault="00C371EB" w:rsidP="0010310C">
            <w:r>
              <w:t>Nazwa przedmiotu</w:t>
            </w:r>
          </w:p>
        </w:tc>
        <w:tc>
          <w:tcPr>
            <w:tcW w:w="4517" w:type="dxa"/>
          </w:tcPr>
          <w:p w14:paraId="0783E7C8" w14:textId="2C8B2F47" w:rsidR="00C371EB" w:rsidRDefault="00C371EB" w:rsidP="0010310C">
            <w:r>
              <w:t>Ochrona własności intelektualnej</w:t>
            </w:r>
          </w:p>
        </w:tc>
      </w:tr>
      <w:tr w:rsidR="00C371EB" w14:paraId="25416D6F" w14:textId="77777777" w:rsidTr="00C371EB">
        <w:tc>
          <w:tcPr>
            <w:tcW w:w="4545" w:type="dxa"/>
          </w:tcPr>
          <w:p w14:paraId="052AC90A" w14:textId="77777777" w:rsidR="00C371EB" w:rsidRDefault="00C371EB" w:rsidP="0010310C">
            <w:r>
              <w:t>Nazwa przedmiotu w języku angielskim</w:t>
            </w:r>
          </w:p>
        </w:tc>
        <w:tc>
          <w:tcPr>
            <w:tcW w:w="4517" w:type="dxa"/>
          </w:tcPr>
          <w:p w14:paraId="70CE1E2B" w14:textId="72A18E02" w:rsidR="00C371EB" w:rsidRDefault="00C371EB" w:rsidP="0010310C">
            <w:proofErr w:type="spellStart"/>
            <w:r>
              <w:t>Protection</w:t>
            </w:r>
            <w:proofErr w:type="spellEnd"/>
            <w:r>
              <w:t xml:space="preserve"> of </w:t>
            </w:r>
            <w:proofErr w:type="spellStart"/>
            <w:r>
              <w:t>intellectual</w:t>
            </w:r>
            <w:proofErr w:type="spellEnd"/>
            <w:r>
              <w:t xml:space="preserve"> </w:t>
            </w:r>
            <w:proofErr w:type="spellStart"/>
            <w:r>
              <w:t>property</w:t>
            </w:r>
            <w:proofErr w:type="spellEnd"/>
          </w:p>
        </w:tc>
      </w:tr>
      <w:tr w:rsidR="00C371EB" w14:paraId="4BC1F760" w14:textId="77777777" w:rsidTr="00C371EB">
        <w:tc>
          <w:tcPr>
            <w:tcW w:w="4545" w:type="dxa"/>
          </w:tcPr>
          <w:p w14:paraId="5A1005BA" w14:textId="77777777" w:rsidR="00C371EB" w:rsidRDefault="00C371EB" w:rsidP="0010310C">
            <w:r>
              <w:t xml:space="preserve">Kierunek studiów </w:t>
            </w:r>
          </w:p>
        </w:tc>
        <w:tc>
          <w:tcPr>
            <w:tcW w:w="4517" w:type="dxa"/>
          </w:tcPr>
          <w:p w14:paraId="6FF05A28" w14:textId="3AD1CD0D" w:rsidR="00C371EB" w:rsidRDefault="00C371EB" w:rsidP="0010310C">
            <w:proofErr w:type="gramStart"/>
            <w:r>
              <w:t>zarządzanie</w:t>
            </w:r>
            <w:proofErr w:type="gramEnd"/>
          </w:p>
        </w:tc>
      </w:tr>
      <w:tr w:rsidR="00C371EB" w14:paraId="580C8E3C" w14:textId="77777777" w:rsidTr="00C371EB">
        <w:tc>
          <w:tcPr>
            <w:tcW w:w="4545" w:type="dxa"/>
          </w:tcPr>
          <w:p w14:paraId="6B3BEBA6" w14:textId="77777777" w:rsidR="00C371EB" w:rsidRDefault="00C371EB" w:rsidP="0010310C">
            <w:r>
              <w:t>Poziom studiów (I, II, jednolite magisterskie)</w:t>
            </w:r>
          </w:p>
        </w:tc>
        <w:tc>
          <w:tcPr>
            <w:tcW w:w="4517" w:type="dxa"/>
          </w:tcPr>
          <w:p w14:paraId="3FAC8574" w14:textId="1DB43BF9" w:rsidR="00C371EB" w:rsidRDefault="00C371EB" w:rsidP="0010310C">
            <w:r>
              <w:t>I</w:t>
            </w:r>
          </w:p>
        </w:tc>
      </w:tr>
      <w:tr w:rsidR="00C371EB" w14:paraId="6C6F5394" w14:textId="77777777" w:rsidTr="00C371EB">
        <w:tc>
          <w:tcPr>
            <w:tcW w:w="4545" w:type="dxa"/>
          </w:tcPr>
          <w:p w14:paraId="74B97979" w14:textId="77777777" w:rsidR="00C371EB" w:rsidRDefault="00C371EB" w:rsidP="0010310C">
            <w:r>
              <w:t>Forma studiów (stacjonarne, niestacjonarne)</w:t>
            </w:r>
          </w:p>
        </w:tc>
        <w:tc>
          <w:tcPr>
            <w:tcW w:w="4517" w:type="dxa"/>
          </w:tcPr>
          <w:p w14:paraId="0A7B4083" w14:textId="266D878A" w:rsidR="00C371EB" w:rsidRDefault="00C371EB" w:rsidP="0010310C">
            <w:proofErr w:type="gramStart"/>
            <w:r>
              <w:t>stacjonarne</w:t>
            </w:r>
            <w:proofErr w:type="gramEnd"/>
          </w:p>
        </w:tc>
      </w:tr>
      <w:tr w:rsidR="00C371EB" w14:paraId="307733DE" w14:textId="77777777" w:rsidTr="00C371EB">
        <w:tc>
          <w:tcPr>
            <w:tcW w:w="4545" w:type="dxa"/>
          </w:tcPr>
          <w:p w14:paraId="05E637D3" w14:textId="77777777" w:rsidR="00C371EB" w:rsidRDefault="00C371EB" w:rsidP="0010310C">
            <w:r>
              <w:t>Dyscyplina</w:t>
            </w:r>
          </w:p>
        </w:tc>
        <w:tc>
          <w:tcPr>
            <w:tcW w:w="4517" w:type="dxa"/>
          </w:tcPr>
          <w:p w14:paraId="3DB624B9" w14:textId="52F588EE" w:rsidR="00C371EB" w:rsidRDefault="00C371EB" w:rsidP="0010310C">
            <w:r>
              <w:t>Nauki o zarządzaniu i jakości 70%, nauki prawne 30%</w:t>
            </w:r>
          </w:p>
        </w:tc>
      </w:tr>
      <w:tr w:rsidR="00C371EB" w14:paraId="18F99684" w14:textId="77777777" w:rsidTr="00C371EB">
        <w:tc>
          <w:tcPr>
            <w:tcW w:w="4545" w:type="dxa"/>
          </w:tcPr>
          <w:p w14:paraId="680D997F" w14:textId="77777777" w:rsidR="00C371EB" w:rsidRDefault="00C371EB" w:rsidP="0010310C">
            <w:r>
              <w:t>Język wykładowy</w:t>
            </w:r>
          </w:p>
        </w:tc>
        <w:tc>
          <w:tcPr>
            <w:tcW w:w="4517" w:type="dxa"/>
          </w:tcPr>
          <w:p w14:paraId="48DDB5E4" w14:textId="3092FD76" w:rsidR="00C371EB" w:rsidRDefault="00C371EB" w:rsidP="0010310C">
            <w:proofErr w:type="gramStart"/>
            <w:r>
              <w:t>polski</w:t>
            </w:r>
            <w:proofErr w:type="gramEnd"/>
          </w:p>
        </w:tc>
      </w:tr>
    </w:tbl>
    <w:p w14:paraId="3A0FFEAD" w14:textId="77777777"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C961A5" w14:paraId="79751754" w14:textId="77777777" w:rsidTr="00C961A5">
        <w:tc>
          <w:tcPr>
            <w:tcW w:w="4606" w:type="dxa"/>
          </w:tcPr>
          <w:p w14:paraId="12A9F995" w14:textId="77777777" w:rsidR="00C961A5" w:rsidRDefault="00BC4DCB" w:rsidP="00A55656">
            <w:r>
              <w:t>Koordynator przedmiotu</w:t>
            </w:r>
          </w:p>
        </w:tc>
        <w:tc>
          <w:tcPr>
            <w:tcW w:w="4606" w:type="dxa"/>
          </w:tcPr>
          <w:p w14:paraId="1DD88E97" w14:textId="6B3186AB" w:rsidR="00C961A5" w:rsidRDefault="00C371EB" w:rsidP="002D1A52">
            <w:r>
              <w:t>Dr hab. Kinga Machowicz, prof. KUL</w:t>
            </w:r>
          </w:p>
          <w:p w14:paraId="17E2F8F2" w14:textId="77777777" w:rsidR="003C473D" w:rsidRDefault="003C473D" w:rsidP="002D1A52"/>
        </w:tc>
      </w:tr>
    </w:tbl>
    <w:p w14:paraId="1C0CF34B" w14:textId="77777777"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C37A43" w14:paraId="4A4E5962" w14:textId="77777777" w:rsidTr="00E12CE4">
        <w:tc>
          <w:tcPr>
            <w:tcW w:w="2285" w:type="dxa"/>
          </w:tcPr>
          <w:p w14:paraId="37DE4ECD" w14:textId="77777777" w:rsidR="00C37A43" w:rsidRDefault="00C37A43" w:rsidP="00B04272">
            <w:pPr>
              <w:jc w:val="center"/>
            </w:pPr>
            <w:r>
              <w:t>Forma zajęć</w:t>
            </w:r>
            <w:r w:rsidR="00FC6CE1">
              <w:t xml:space="preserve"> 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258" w:type="dxa"/>
          </w:tcPr>
          <w:p w14:paraId="6681DE0B" w14:textId="77777777"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261" w:type="dxa"/>
          </w:tcPr>
          <w:p w14:paraId="1F304874" w14:textId="77777777" w:rsidR="00C37A43" w:rsidRDefault="00C37A43" w:rsidP="00B04272">
            <w:pPr>
              <w:jc w:val="center"/>
            </w:pPr>
            <w:proofErr w:type="gramStart"/>
            <w:r>
              <w:t>semestr</w:t>
            </w:r>
            <w:proofErr w:type="gramEnd"/>
          </w:p>
        </w:tc>
        <w:tc>
          <w:tcPr>
            <w:tcW w:w="2258" w:type="dxa"/>
          </w:tcPr>
          <w:p w14:paraId="1A5858AB" w14:textId="77777777"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3C473D" w14:paraId="6BDA646F" w14:textId="77777777" w:rsidTr="00E12CE4">
        <w:tc>
          <w:tcPr>
            <w:tcW w:w="2285" w:type="dxa"/>
          </w:tcPr>
          <w:p w14:paraId="3AC7E675" w14:textId="77777777" w:rsidR="003C473D" w:rsidRDefault="003C473D" w:rsidP="002D1A52">
            <w:proofErr w:type="gramStart"/>
            <w:r>
              <w:t>wykład</w:t>
            </w:r>
            <w:proofErr w:type="gramEnd"/>
          </w:p>
        </w:tc>
        <w:tc>
          <w:tcPr>
            <w:tcW w:w="2258" w:type="dxa"/>
          </w:tcPr>
          <w:p w14:paraId="21E0F8E3" w14:textId="6514A74A" w:rsidR="003C473D" w:rsidRDefault="0010310C" w:rsidP="002D1A52">
            <w:r>
              <w:t>30</w:t>
            </w:r>
          </w:p>
        </w:tc>
        <w:tc>
          <w:tcPr>
            <w:tcW w:w="2261" w:type="dxa"/>
          </w:tcPr>
          <w:p w14:paraId="4EB8E2E6" w14:textId="3B5ADC10" w:rsidR="003C473D" w:rsidRDefault="0010310C" w:rsidP="002D1A52">
            <w:r>
              <w:t>VI</w:t>
            </w:r>
          </w:p>
        </w:tc>
        <w:tc>
          <w:tcPr>
            <w:tcW w:w="2258" w:type="dxa"/>
          </w:tcPr>
          <w:p w14:paraId="25E56181" w14:textId="1F0FA057" w:rsidR="003C473D" w:rsidRDefault="00E12CE4" w:rsidP="002D1A52">
            <w:r>
              <w:t>3</w:t>
            </w:r>
          </w:p>
        </w:tc>
      </w:tr>
    </w:tbl>
    <w:p w14:paraId="386DD0E8" w14:textId="77777777"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3"/>
        <w:gridCol w:w="6849"/>
      </w:tblGrid>
      <w:tr w:rsidR="004F73CF" w14:paraId="6A26BA02" w14:textId="77777777" w:rsidTr="002754C6">
        <w:tc>
          <w:tcPr>
            <w:tcW w:w="2235" w:type="dxa"/>
          </w:tcPr>
          <w:p w14:paraId="67F42A26" w14:textId="77777777" w:rsidR="004F73CF" w:rsidRDefault="004F73CF" w:rsidP="002D1A52">
            <w:r>
              <w:t>Wymagania wstępne</w:t>
            </w:r>
          </w:p>
        </w:tc>
        <w:tc>
          <w:tcPr>
            <w:tcW w:w="6977" w:type="dxa"/>
          </w:tcPr>
          <w:p w14:paraId="1D01D3CA" w14:textId="03BB8F24" w:rsidR="004F73CF" w:rsidRDefault="0010310C" w:rsidP="002D1A52">
            <w:proofErr w:type="gramStart"/>
            <w:r>
              <w:t>ukończony</w:t>
            </w:r>
            <w:proofErr w:type="gramEnd"/>
            <w:r>
              <w:t xml:space="preserve"> kurs z przedmiotu prawo</w:t>
            </w:r>
          </w:p>
        </w:tc>
      </w:tr>
    </w:tbl>
    <w:p w14:paraId="6ABABF75" w14:textId="77777777" w:rsidR="004F73CF" w:rsidRDefault="004F73CF" w:rsidP="004F73CF">
      <w:pPr>
        <w:spacing w:after="0"/>
      </w:pPr>
    </w:p>
    <w:p w14:paraId="194FD874" w14:textId="77777777" w:rsidR="008215CC" w:rsidRDefault="008215CC" w:rsidP="008215CC">
      <w:pPr>
        <w:spacing w:after="0"/>
      </w:pPr>
    </w:p>
    <w:p w14:paraId="272F91AA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310C" w14:paraId="3774BA06" w14:textId="77777777" w:rsidTr="0010310C">
        <w:tc>
          <w:tcPr>
            <w:tcW w:w="9062" w:type="dxa"/>
          </w:tcPr>
          <w:p w14:paraId="66F3F116" w14:textId="58F5E062" w:rsidR="0010310C" w:rsidRDefault="0010310C" w:rsidP="0010310C">
            <w:r>
              <w:t>C1 - Poznanie istoty własności intelektualnej w obrocie gospodarczym.</w:t>
            </w:r>
          </w:p>
        </w:tc>
      </w:tr>
      <w:tr w:rsidR="0010310C" w14:paraId="78CEEC9D" w14:textId="77777777" w:rsidTr="0010310C">
        <w:tc>
          <w:tcPr>
            <w:tcW w:w="9062" w:type="dxa"/>
          </w:tcPr>
          <w:p w14:paraId="14115AA3" w14:textId="6BADE6F7" w:rsidR="0010310C" w:rsidRDefault="0010310C" w:rsidP="0010310C">
            <w:r>
              <w:t>C2 - Poznanie rangi własności intelektualnej dla rozwijania uczciwej konkurencji.</w:t>
            </w:r>
          </w:p>
        </w:tc>
      </w:tr>
      <w:tr w:rsidR="0010310C" w14:paraId="13FEC505" w14:textId="77777777" w:rsidTr="0010310C">
        <w:tc>
          <w:tcPr>
            <w:tcW w:w="9062" w:type="dxa"/>
          </w:tcPr>
          <w:p w14:paraId="3558353A" w14:textId="6FF49D47" w:rsidR="0010310C" w:rsidRDefault="0010310C" w:rsidP="0010310C">
            <w:r>
              <w:t>C3 - Poznanie środków ochrony własności intelektualnej.</w:t>
            </w:r>
          </w:p>
        </w:tc>
      </w:tr>
    </w:tbl>
    <w:p w14:paraId="2FD90737" w14:textId="77777777" w:rsidR="003C473D" w:rsidRDefault="003C473D" w:rsidP="004F73CF">
      <w:pPr>
        <w:spacing w:after="0"/>
      </w:pPr>
    </w:p>
    <w:p w14:paraId="33F69DE0" w14:textId="77777777" w:rsidR="003C473D" w:rsidRDefault="003C473D">
      <w:r>
        <w:br w:type="page"/>
      </w:r>
    </w:p>
    <w:p w14:paraId="17136C80" w14:textId="77777777" w:rsidR="004F73CF" w:rsidRDefault="004F73CF" w:rsidP="004F73CF">
      <w:pPr>
        <w:spacing w:after="0"/>
      </w:pPr>
    </w:p>
    <w:p w14:paraId="5F3620F9" w14:textId="77777777" w:rsidR="004F73CF" w:rsidRPr="00556FCA" w:rsidRDefault="004F73CF" w:rsidP="001051F5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Efekty </w:t>
      </w:r>
      <w:r w:rsidR="00F54F71"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5"/>
        <w:gridCol w:w="5829"/>
        <w:gridCol w:w="2138"/>
      </w:tblGrid>
      <w:tr w:rsidR="004F73CF" w14:paraId="56F4048F" w14:textId="77777777" w:rsidTr="00E12CE4">
        <w:tc>
          <w:tcPr>
            <w:tcW w:w="1095" w:type="dxa"/>
            <w:vAlign w:val="center"/>
          </w:tcPr>
          <w:p w14:paraId="3A9BCC52" w14:textId="77777777" w:rsidR="004F73CF" w:rsidRDefault="004F73CF" w:rsidP="00556FCA">
            <w:pPr>
              <w:jc w:val="center"/>
            </w:pPr>
            <w:r>
              <w:t>Symbol</w:t>
            </w:r>
          </w:p>
        </w:tc>
        <w:tc>
          <w:tcPr>
            <w:tcW w:w="5829" w:type="dxa"/>
            <w:vAlign w:val="center"/>
          </w:tcPr>
          <w:p w14:paraId="05FA33CB" w14:textId="77777777" w:rsidR="004F73CF" w:rsidRDefault="004F73CF" w:rsidP="00556FCA">
            <w:pPr>
              <w:jc w:val="center"/>
            </w:pPr>
            <w:r>
              <w:t>Opis efektu przedmiotowego</w:t>
            </w:r>
          </w:p>
        </w:tc>
        <w:tc>
          <w:tcPr>
            <w:tcW w:w="2138" w:type="dxa"/>
            <w:vAlign w:val="center"/>
          </w:tcPr>
          <w:p w14:paraId="6AA1A997" w14:textId="77777777" w:rsidR="004F73CF" w:rsidRDefault="004F73CF" w:rsidP="00556FCA">
            <w:pPr>
              <w:jc w:val="center"/>
            </w:pPr>
            <w:r>
              <w:t>Odniesienie do efektu kierunkowego</w:t>
            </w:r>
          </w:p>
        </w:tc>
      </w:tr>
      <w:tr w:rsidR="004F73CF" w14:paraId="76971BD6" w14:textId="77777777" w:rsidTr="00E12CE4">
        <w:tc>
          <w:tcPr>
            <w:tcW w:w="9062" w:type="dxa"/>
            <w:gridSpan w:val="3"/>
          </w:tcPr>
          <w:p w14:paraId="6A5FC1B5" w14:textId="77777777" w:rsidR="004F73CF" w:rsidRDefault="004F73CF" w:rsidP="004F73CF">
            <w:pPr>
              <w:jc w:val="center"/>
            </w:pPr>
            <w:r>
              <w:t>WIEDZA</w:t>
            </w:r>
          </w:p>
        </w:tc>
      </w:tr>
      <w:tr w:rsidR="004F73CF" w14:paraId="6ABFCCC5" w14:textId="77777777" w:rsidTr="00E12CE4">
        <w:tc>
          <w:tcPr>
            <w:tcW w:w="1095" w:type="dxa"/>
          </w:tcPr>
          <w:p w14:paraId="1E13CDD7" w14:textId="56B7C61A" w:rsidR="004F73CF" w:rsidRDefault="004F73CF" w:rsidP="004F73CF">
            <w:r>
              <w:t>W_0</w:t>
            </w:r>
            <w:r w:rsidR="00E12CE4">
              <w:t>4</w:t>
            </w:r>
          </w:p>
        </w:tc>
        <w:tc>
          <w:tcPr>
            <w:tcW w:w="5829" w:type="dxa"/>
          </w:tcPr>
          <w:p w14:paraId="78CC7690" w14:textId="0AF1A56C" w:rsidR="004F73CF" w:rsidRDefault="0058319C" w:rsidP="004F73CF">
            <w:proofErr w:type="gramStart"/>
            <w:r w:rsidRPr="0058319C">
              <w:rPr>
                <w:rFonts w:eastAsia="Times New Roman"/>
                <w:sz w:val="18"/>
                <w:szCs w:val="18"/>
                <w:lang w:eastAsia="pl-PL"/>
              </w:rPr>
              <w:t>normy</w:t>
            </w:r>
            <w:proofErr w:type="gramEnd"/>
            <w:r w:rsidRPr="0058319C">
              <w:rPr>
                <w:rFonts w:eastAsia="Times New Roman"/>
                <w:sz w:val="18"/>
                <w:szCs w:val="18"/>
                <w:lang w:eastAsia="pl-PL"/>
              </w:rPr>
              <w:t xml:space="preserve"> prawne funkcjonujące w społeczeństwie</w:t>
            </w:r>
          </w:p>
        </w:tc>
        <w:tc>
          <w:tcPr>
            <w:tcW w:w="2138" w:type="dxa"/>
          </w:tcPr>
          <w:p w14:paraId="56ED5AC3" w14:textId="1570AB89" w:rsidR="004F73CF" w:rsidRDefault="00DB2EF1" w:rsidP="004F73CF">
            <w:r>
              <w:rPr>
                <w:rFonts w:ascii="Arial" w:hAnsi="Arial" w:cs="Arial"/>
                <w:sz w:val="18"/>
                <w:szCs w:val="18"/>
              </w:rPr>
              <w:t>P6U_W2, P6S_WK2</w:t>
            </w:r>
          </w:p>
        </w:tc>
      </w:tr>
      <w:tr w:rsidR="00DB2EF1" w14:paraId="77A0BE9A" w14:textId="77777777" w:rsidTr="00E12CE4">
        <w:tc>
          <w:tcPr>
            <w:tcW w:w="1095" w:type="dxa"/>
          </w:tcPr>
          <w:p w14:paraId="5B1F8AEA" w14:textId="6B27ADDE" w:rsidR="00DB2EF1" w:rsidRDefault="00DB2EF1" w:rsidP="00DB2EF1">
            <w:r>
              <w:t>W_06</w:t>
            </w:r>
          </w:p>
        </w:tc>
        <w:tc>
          <w:tcPr>
            <w:tcW w:w="5829" w:type="dxa"/>
          </w:tcPr>
          <w:p w14:paraId="64211BAE" w14:textId="62708D23" w:rsidR="00DB2EF1" w:rsidRDefault="00DB2EF1" w:rsidP="00DB2EF1">
            <w:proofErr w:type="gramStart"/>
            <w:r>
              <w:rPr>
                <w:rFonts w:ascii="Arial" w:hAnsi="Arial" w:cs="Arial"/>
                <w:sz w:val="18"/>
                <w:szCs w:val="18"/>
              </w:rPr>
              <w:t>podstawowe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pojęcia i zasady z zakresu ochrony własności przemysłowej i </w:t>
            </w:r>
            <w:r>
              <w:rPr>
                <w:rFonts w:ascii="Arial" w:hAnsi="Arial" w:cs="Arial"/>
                <w:sz w:val="18"/>
                <w:szCs w:val="18"/>
              </w:rPr>
              <w:t xml:space="preserve">prawa autorskiego </w:t>
            </w:r>
          </w:p>
        </w:tc>
        <w:tc>
          <w:tcPr>
            <w:tcW w:w="2138" w:type="dxa"/>
          </w:tcPr>
          <w:p w14:paraId="652FD8E5" w14:textId="12E36F14" w:rsidR="00DB2EF1" w:rsidRDefault="00DB2EF1" w:rsidP="00DB2EF1">
            <w:r>
              <w:rPr>
                <w:rFonts w:ascii="Arial" w:hAnsi="Arial" w:cs="Arial"/>
                <w:sz w:val="18"/>
                <w:szCs w:val="18"/>
              </w:rPr>
              <w:t>P6U_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W2,  P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6S_ WK2</w:t>
            </w:r>
          </w:p>
        </w:tc>
      </w:tr>
      <w:tr w:rsidR="00DB2EF1" w14:paraId="7083ABE1" w14:textId="77777777" w:rsidTr="00E12CE4">
        <w:tc>
          <w:tcPr>
            <w:tcW w:w="9062" w:type="dxa"/>
            <w:gridSpan w:val="3"/>
          </w:tcPr>
          <w:p w14:paraId="741BFB46" w14:textId="77777777" w:rsidR="00DB2EF1" w:rsidRDefault="00DB2EF1" w:rsidP="00DB2EF1">
            <w:pPr>
              <w:jc w:val="center"/>
            </w:pPr>
            <w:r>
              <w:t>UMIEJĘTNOŚCI</w:t>
            </w:r>
          </w:p>
        </w:tc>
      </w:tr>
      <w:tr w:rsidR="006033B3" w14:paraId="3AD3BD5C" w14:textId="77777777" w:rsidTr="00E12CE4">
        <w:tc>
          <w:tcPr>
            <w:tcW w:w="1095" w:type="dxa"/>
          </w:tcPr>
          <w:p w14:paraId="0665D5E5" w14:textId="794D219E" w:rsidR="006033B3" w:rsidRDefault="006033B3" w:rsidP="006033B3">
            <w:r>
              <w:t>U_09</w:t>
            </w:r>
          </w:p>
        </w:tc>
        <w:tc>
          <w:tcPr>
            <w:tcW w:w="5829" w:type="dxa"/>
          </w:tcPr>
          <w:p w14:paraId="0BCB6F1D" w14:textId="1A0B8238" w:rsidR="006033B3" w:rsidRDefault="006033B3" w:rsidP="006033B3">
            <w:proofErr w:type="gramStart"/>
            <w:r>
              <w:rPr>
                <w:rFonts w:ascii="ArialMT" w:hAnsi="ArialMT" w:cs="ArialMT"/>
                <w:sz w:val="18"/>
                <w:szCs w:val="18"/>
              </w:rPr>
              <w:t>planować</w:t>
            </w:r>
            <w:proofErr w:type="gramEnd"/>
            <w:r>
              <w:rPr>
                <w:rFonts w:ascii="ArialMT" w:hAnsi="ArialMT" w:cs="ArialMT"/>
                <w:sz w:val="18"/>
                <w:szCs w:val="18"/>
              </w:rPr>
              <w:t xml:space="preserve"> dalszy tok uczenia się i doskonalenia swoich umiejętności przez całe życie</w:t>
            </w:r>
          </w:p>
        </w:tc>
        <w:tc>
          <w:tcPr>
            <w:tcW w:w="2138" w:type="dxa"/>
          </w:tcPr>
          <w:p w14:paraId="16725280" w14:textId="468F6108" w:rsidR="006033B3" w:rsidRDefault="006033B3" w:rsidP="006033B3">
            <w:r>
              <w:rPr>
                <w:rFonts w:ascii="Arial" w:hAnsi="Arial" w:cs="Arial"/>
                <w:sz w:val="18"/>
                <w:szCs w:val="18"/>
              </w:rPr>
              <w:t>P6U_U2, P6S_UU1</w:t>
            </w:r>
          </w:p>
        </w:tc>
      </w:tr>
      <w:tr w:rsidR="006033B3" w14:paraId="461DE81F" w14:textId="77777777" w:rsidTr="00E12CE4">
        <w:tc>
          <w:tcPr>
            <w:tcW w:w="9062" w:type="dxa"/>
            <w:gridSpan w:val="3"/>
          </w:tcPr>
          <w:p w14:paraId="1E05230A" w14:textId="77777777" w:rsidR="006033B3" w:rsidRDefault="006033B3" w:rsidP="006033B3">
            <w:pPr>
              <w:jc w:val="center"/>
            </w:pPr>
            <w:r>
              <w:t>KOMPETENCJE SPOŁECZNE</w:t>
            </w:r>
          </w:p>
        </w:tc>
      </w:tr>
      <w:tr w:rsidR="00DC23AB" w14:paraId="72A83355" w14:textId="77777777" w:rsidTr="00E12CE4">
        <w:tc>
          <w:tcPr>
            <w:tcW w:w="1095" w:type="dxa"/>
          </w:tcPr>
          <w:p w14:paraId="045ED946" w14:textId="77777777" w:rsidR="00DC23AB" w:rsidRDefault="00DC23AB" w:rsidP="00DC23AB">
            <w:r>
              <w:t>K_01</w:t>
            </w:r>
          </w:p>
        </w:tc>
        <w:tc>
          <w:tcPr>
            <w:tcW w:w="5829" w:type="dxa"/>
          </w:tcPr>
          <w:p w14:paraId="45C212B8" w14:textId="78B33E94" w:rsidR="00DC23AB" w:rsidRDefault="00DC23AB" w:rsidP="00DC23AB">
            <w:proofErr w:type="gramStart"/>
            <w:r>
              <w:rPr>
                <w:rFonts w:ascii="Arial" w:hAnsi="Arial" w:cs="Arial"/>
                <w:sz w:val="18"/>
                <w:szCs w:val="18"/>
              </w:rPr>
              <w:t>samooceny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własnych kompetencji i </w:t>
            </w:r>
            <w:r>
              <w:rPr>
                <w:rFonts w:ascii="Arial" w:hAnsi="Arial" w:cs="Arial"/>
                <w:sz w:val="18"/>
                <w:szCs w:val="18"/>
              </w:rPr>
              <w:t>ich doskonalenia</w:t>
            </w:r>
          </w:p>
        </w:tc>
        <w:tc>
          <w:tcPr>
            <w:tcW w:w="2138" w:type="dxa"/>
          </w:tcPr>
          <w:p w14:paraId="4154F0D7" w14:textId="0F74B3D2" w:rsidR="00DC23AB" w:rsidRDefault="00DC23AB" w:rsidP="00DC23AB">
            <w:r>
              <w:rPr>
                <w:rFonts w:ascii="Arial" w:hAnsi="Arial" w:cs="Arial"/>
                <w:sz w:val="18"/>
                <w:szCs w:val="18"/>
              </w:rPr>
              <w:t>P6U_K2 P6S_KK1</w:t>
            </w:r>
          </w:p>
        </w:tc>
      </w:tr>
    </w:tbl>
    <w:p w14:paraId="2BDC4A36" w14:textId="77777777" w:rsidR="003C473D" w:rsidRDefault="003C473D" w:rsidP="003C473D">
      <w:pPr>
        <w:pStyle w:val="Akapitzlist"/>
        <w:ind w:left="1080"/>
        <w:rPr>
          <w:b/>
        </w:rPr>
      </w:pPr>
    </w:p>
    <w:p w14:paraId="3D17CCDD" w14:textId="77777777" w:rsidR="00FC6CE1" w:rsidRPr="00583DB9" w:rsidRDefault="00FC6CE1" w:rsidP="00583DB9">
      <w:pPr>
        <w:pStyle w:val="Akapitzlist"/>
        <w:numPr>
          <w:ilvl w:val="0"/>
          <w:numId w:val="25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6CE1" w14:paraId="09BD8E5D" w14:textId="77777777" w:rsidTr="00FC6CE1">
        <w:tc>
          <w:tcPr>
            <w:tcW w:w="9212" w:type="dxa"/>
          </w:tcPr>
          <w:p w14:paraId="551B0C8E" w14:textId="627E1DF4" w:rsidR="00FC6CE1" w:rsidRDefault="002F72F0" w:rsidP="00FC6CE1">
            <w:pPr>
              <w:rPr>
                <w:b/>
              </w:rPr>
            </w:pPr>
            <w:r w:rsidRPr="002F72F0">
              <w:t xml:space="preserve">1. Przedstawienie programu przedmiotu i wymagań </w:t>
            </w:r>
            <w:r>
              <w:t>zaliczeniowy</w:t>
            </w:r>
            <w:r w:rsidRPr="002F72F0">
              <w:t>ch. Pojęcie, źródła prawa własności intelektualnej. Własność intelektualna jako kapitał innowacyjnych przedsiębiorstw. 2. Autorskie prawa osobiste i ich ochrona. 3. Autorskie prawa majątkowe i ich ochrona. 4. Dzielenie się dobrami kultury a nielegalne udostępnianie plików. Dozwolony użytek chronionych utworów. Plagiat a dozwolone cytowanie. Umowa o korzystanie z utworu. Ochrona wizerunku, adresata korespondencji i tajemnicy źródeł informacji. 5. Wykonywanie praw autorskich i zarządzanie redakcją prasową w kontekście ryzyka ponoszenia odpowiedzialności prawnej z tytułu publikacji materiałów prasowych naruszających prawo. Organizacje zbiorowego zarządzania prawami autorskimi lub pokrewnymi. 6. Prawa pokrewne prawom autorskim. Ochrona baz danych. 7. Wynalazek. Przesłanki i warunki opatentowania wynalazku. Zakończenie ochrony patentowej. Obrót patentem. Licencje na korzystanie z wynalazku. 8. Ochrona wzorów użytkowych. Ochrona topografii układu scalonego.</w:t>
            </w:r>
            <w:r>
              <w:t xml:space="preserve"> 9. Ochrona wzorów przemysłowych. Ochrona oznaczeń geograficznych i nazwy chronione. 10. Ochrona znaków towarowych. 11. Przeciwdziałanie nieuczciwej konkurencji. Tajemnica przedsiębiorstwa. 12. Procedury uzyskiwania ochrony własności przemysłowej. 13. Analiza wybranych kazusów jako przykładów problemów najczęściej spotykanych w praktyce. 14. Zawód rzecznika patentowego. Funkcja eksperta w UP. Rola menedżera w show-biznesie. 15. Pisemne zaliczenie.</w:t>
            </w:r>
          </w:p>
        </w:tc>
      </w:tr>
    </w:tbl>
    <w:p w14:paraId="480B330B" w14:textId="77777777" w:rsidR="00FC6CE1" w:rsidRPr="00FC6CE1" w:rsidRDefault="00FC6CE1" w:rsidP="00FC6CE1">
      <w:pPr>
        <w:rPr>
          <w:b/>
        </w:rPr>
      </w:pPr>
    </w:p>
    <w:p w14:paraId="70B1FBBE" w14:textId="77777777" w:rsidR="004F73CF" w:rsidRDefault="00E43C97" w:rsidP="008E401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Metody realizacji</w:t>
      </w:r>
      <w:r w:rsidR="008E4017" w:rsidRPr="008E4017">
        <w:rPr>
          <w:b/>
        </w:rPr>
        <w:t xml:space="preserve"> </w:t>
      </w:r>
      <w:r w:rsidR="00450FA6">
        <w:rPr>
          <w:b/>
        </w:rPr>
        <w:t xml:space="preserve">i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1"/>
        <w:gridCol w:w="2631"/>
        <w:gridCol w:w="2756"/>
        <w:gridCol w:w="2584"/>
      </w:tblGrid>
      <w:tr w:rsidR="00450FA6" w14:paraId="77068A25" w14:textId="77777777" w:rsidTr="00F906B7">
        <w:tc>
          <w:tcPr>
            <w:tcW w:w="1091" w:type="dxa"/>
            <w:vAlign w:val="center"/>
          </w:tcPr>
          <w:p w14:paraId="7713A48D" w14:textId="77777777" w:rsidR="00450FA6" w:rsidRDefault="00450FA6" w:rsidP="00450FA6">
            <w:pPr>
              <w:jc w:val="center"/>
            </w:pPr>
            <w:r>
              <w:t>Symbol efektu</w:t>
            </w:r>
          </w:p>
        </w:tc>
        <w:tc>
          <w:tcPr>
            <w:tcW w:w="2631" w:type="dxa"/>
            <w:vAlign w:val="center"/>
          </w:tcPr>
          <w:p w14:paraId="479CB13B" w14:textId="77777777" w:rsidR="00450FA6" w:rsidRDefault="00450FA6" w:rsidP="00450FA6">
            <w:pPr>
              <w:jc w:val="center"/>
            </w:pPr>
            <w:r>
              <w:t>Metody dydaktyczne</w:t>
            </w:r>
          </w:p>
          <w:p w14:paraId="6147EF96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756" w:type="dxa"/>
            <w:vAlign w:val="center"/>
          </w:tcPr>
          <w:p w14:paraId="1FBF2E74" w14:textId="77777777" w:rsidR="00450FA6" w:rsidRDefault="00450FA6" w:rsidP="00450FA6">
            <w:pPr>
              <w:jc w:val="center"/>
            </w:pPr>
            <w:r>
              <w:t>Metody weryfikacji</w:t>
            </w:r>
          </w:p>
          <w:p w14:paraId="0465CD45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84" w:type="dxa"/>
            <w:vAlign w:val="center"/>
          </w:tcPr>
          <w:p w14:paraId="50807B39" w14:textId="77777777" w:rsidR="00450FA6" w:rsidRDefault="00450FA6" w:rsidP="00450FA6">
            <w:pPr>
              <w:jc w:val="center"/>
            </w:pPr>
            <w:r>
              <w:t>Sposoby dokumentacji</w:t>
            </w:r>
          </w:p>
          <w:p w14:paraId="6C042B85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450FA6" w14:paraId="6D54FE09" w14:textId="77777777" w:rsidTr="00C37884">
        <w:tc>
          <w:tcPr>
            <w:tcW w:w="9062" w:type="dxa"/>
            <w:gridSpan w:val="4"/>
            <w:vAlign w:val="center"/>
          </w:tcPr>
          <w:p w14:paraId="50EE9EF5" w14:textId="77777777" w:rsidR="00450FA6" w:rsidRDefault="00450FA6" w:rsidP="00450FA6">
            <w:pPr>
              <w:jc w:val="center"/>
            </w:pPr>
            <w:r>
              <w:t>WIEDZA</w:t>
            </w:r>
          </w:p>
        </w:tc>
      </w:tr>
      <w:tr w:rsidR="00450FA6" w14:paraId="34533C4A" w14:textId="77777777" w:rsidTr="00F906B7">
        <w:tc>
          <w:tcPr>
            <w:tcW w:w="1091" w:type="dxa"/>
          </w:tcPr>
          <w:p w14:paraId="70A281B9" w14:textId="579C2DA1" w:rsidR="00450FA6" w:rsidRDefault="00450FA6" w:rsidP="00262167">
            <w:r>
              <w:t>W_0</w:t>
            </w:r>
            <w:r w:rsidR="00C37884">
              <w:t>4</w:t>
            </w:r>
          </w:p>
        </w:tc>
        <w:tc>
          <w:tcPr>
            <w:tcW w:w="2631" w:type="dxa"/>
          </w:tcPr>
          <w:p w14:paraId="25578A20" w14:textId="6CB37F9A" w:rsidR="00450FA6" w:rsidRDefault="00B458DA" w:rsidP="002D1A52">
            <w:r>
              <w:t>Wykład</w:t>
            </w:r>
          </w:p>
        </w:tc>
        <w:tc>
          <w:tcPr>
            <w:tcW w:w="2756" w:type="dxa"/>
          </w:tcPr>
          <w:p w14:paraId="2A5AA11A" w14:textId="755A0266" w:rsidR="00450FA6" w:rsidRDefault="00B458DA" w:rsidP="002D1A52">
            <w:r>
              <w:t>Test</w:t>
            </w:r>
          </w:p>
        </w:tc>
        <w:tc>
          <w:tcPr>
            <w:tcW w:w="2584" w:type="dxa"/>
          </w:tcPr>
          <w:p w14:paraId="71E3341D" w14:textId="2EFB8049" w:rsidR="00450FA6" w:rsidRDefault="002D3614" w:rsidP="002D1A52">
            <w:r>
              <w:t xml:space="preserve">Protokół </w:t>
            </w:r>
            <w:r w:rsidR="006426D8">
              <w:t>zaliczeniowy</w:t>
            </w:r>
          </w:p>
        </w:tc>
      </w:tr>
      <w:tr w:rsidR="00450FA6" w14:paraId="08B741E9" w14:textId="77777777" w:rsidTr="00F906B7">
        <w:tc>
          <w:tcPr>
            <w:tcW w:w="1091" w:type="dxa"/>
          </w:tcPr>
          <w:p w14:paraId="783CB12E" w14:textId="1FD29FCD" w:rsidR="00450FA6" w:rsidRDefault="00450FA6" w:rsidP="00262167">
            <w:r>
              <w:t>W_0</w:t>
            </w:r>
            <w:r w:rsidR="00C37884">
              <w:t>6</w:t>
            </w:r>
          </w:p>
        </w:tc>
        <w:tc>
          <w:tcPr>
            <w:tcW w:w="2631" w:type="dxa"/>
          </w:tcPr>
          <w:p w14:paraId="4B662ACB" w14:textId="40014EA2" w:rsidR="00450FA6" w:rsidRDefault="00B458DA" w:rsidP="002D1A52">
            <w:r>
              <w:t>Wykład</w:t>
            </w:r>
          </w:p>
        </w:tc>
        <w:tc>
          <w:tcPr>
            <w:tcW w:w="2756" w:type="dxa"/>
          </w:tcPr>
          <w:p w14:paraId="29849BF8" w14:textId="27D8CDE4" w:rsidR="00450FA6" w:rsidRDefault="00B458DA" w:rsidP="002D1A52">
            <w:r>
              <w:t>Test</w:t>
            </w:r>
          </w:p>
        </w:tc>
        <w:tc>
          <w:tcPr>
            <w:tcW w:w="2584" w:type="dxa"/>
          </w:tcPr>
          <w:p w14:paraId="5F6033FC" w14:textId="6C02A8A1" w:rsidR="00450FA6" w:rsidRDefault="006426D8" w:rsidP="002D1A52">
            <w:r>
              <w:t>Protokół zaliczeniowy</w:t>
            </w:r>
          </w:p>
        </w:tc>
      </w:tr>
      <w:tr w:rsidR="00450FA6" w14:paraId="2E71B19A" w14:textId="77777777" w:rsidTr="00C37884">
        <w:tc>
          <w:tcPr>
            <w:tcW w:w="9062" w:type="dxa"/>
            <w:gridSpan w:val="4"/>
            <w:vAlign w:val="center"/>
          </w:tcPr>
          <w:p w14:paraId="0FF112FA" w14:textId="77777777" w:rsidR="00450FA6" w:rsidRDefault="00450FA6" w:rsidP="00450FA6">
            <w:pPr>
              <w:jc w:val="center"/>
            </w:pPr>
            <w:r>
              <w:t>UMIEJĘTNOŚCI</w:t>
            </w:r>
          </w:p>
        </w:tc>
      </w:tr>
      <w:tr w:rsidR="00B458DA" w14:paraId="064E46BC" w14:textId="77777777" w:rsidTr="00F906B7">
        <w:tc>
          <w:tcPr>
            <w:tcW w:w="1091" w:type="dxa"/>
          </w:tcPr>
          <w:p w14:paraId="5AB71DF0" w14:textId="09C8C460" w:rsidR="00B458DA" w:rsidRDefault="00B458DA" w:rsidP="00B458DA">
            <w:r>
              <w:t>U_09</w:t>
            </w:r>
          </w:p>
        </w:tc>
        <w:tc>
          <w:tcPr>
            <w:tcW w:w="2631" w:type="dxa"/>
          </w:tcPr>
          <w:p w14:paraId="3E04547B" w14:textId="272B18EB" w:rsidR="00B458DA" w:rsidRDefault="006426D8" w:rsidP="00B458DA">
            <w:r w:rsidRPr="00301314">
              <w:t xml:space="preserve">Design </w:t>
            </w:r>
            <w:proofErr w:type="spellStart"/>
            <w:r w:rsidRPr="00301314">
              <w:t>thinking</w:t>
            </w:r>
            <w:proofErr w:type="spellEnd"/>
            <w:r w:rsidRPr="00301314">
              <w:t xml:space="preserve"> – </w:t>
            </w:r>
            <w:r>
              <w:t xml:space="preserve">burza mózgów i </w:t>
            </w:r>
            <w:r w:rsidRPr="00301314">
              <w:t>praca nad prototypowym</w:t>
            </w:r>
            <w:r>
              <w:t>i rozwiązaniami</w:t>
            </w:r>
            <w:r w:rsidR="008E26C8">
              <w:t xml:space="preserve"> pod koniec jednostek wykładowych, konsultacji lub forum na </w:t>
            </w:r>
            <w:proofErr w:type="spellStart"/>
            <w:r w:rsidR="008E26C8">
              <w:t>Moodle</w:t>
            </w:r>
            <w:proofErr w:type="spellEnd"/>
          </w:p>
        </w:tc>
        <w:tc>
          <w:tcPr>
            <w:tcW w:w="2756" w:type="dxa"/>
          </w:tcPr>
          <w:p w14:paraId="4729D9C9" w14:textId="005DDE52" w:rsidR="00B458DA" w:rsidRDefault="006426D8" w:rsidP="00B458DA">
            <w:r>
              <w:t xml:space="preserve">Test </w:t>
            </w:r>
          </w:p>
        </w:tc>
        <w:tc>
          <w:tcPr>
            <w:tcW w:w="2584" w:type="dxa"/>
          </w:tcPr>
          <w:p w14:paraId="2B94CB76" w14:textId="13CBAF3F" w:rsidR="00B458DA" w:rsidRDefault="006426D8" w:rsidP="00B458DA">
            <w:r>
              <w:t>Protokół zaliczeniowy</w:t>
            </w:r>
          </w:p>
        </w:tc>
      </w:tr>
      <w:tr w:rsidR="00B458DA" w14:paraId="14352223" w14:textId="77777777" w:rsidTr="00C37884">
        <w:tc>
          <w:tcPr>
            <w:tcW w:w="9062" w:type="dxa"/>
            <w:gridSpan w:val="4"/>
            <w:vAlign w:val="center"/>
          </w:tcPr>
          <w:p w14:paraId="163BEE64" w14:textId="77777777" w:rsidR="00B458DA" w:rsidRDefault="00B458DA" w:rsidP="00B458DA">
            <w:pPr>
              <w:jc w:val="center"/>
            </w:pPr>
            <w:r>
              <w:t>KOMPETENCJE SPOŁECZNE</w:t>
            </w:r>
          </w:p>
        </w:tc>
      </w:tr>
      <w:tr w:rsidR="00F906B7" w14:paraId="3EC46E73" w14:textId="77777777" w:rsidTr="00F906B7">
        <w:tc>
          <w:tcPr>
            <w:tcW w:w="1091" w:type="dxa"/>
          </w:tcPr>
          <w:p w14:paraId="556B47D8" w14:textId="77777777" w:rsidR="00F906B7" w:rsidRDefault="00F906B7" w:rsidP="00F906B7">
            <w:r>
              <w:lastRenderedPageBreak/>
              <w:t>K_01</w:t>
            </w:r>
          </w:p>
        </w:tc>
        <w:tc>
          <w:tcPr>
            <w:tcW w:w="2631" w:type="dxa"/>
          </w:tcPr>
          <w:p w14:paraId="0FB00CFA" w14:textId="3E0E1F42" w:rsidR="00F906B7" w:rsidRDefault="006426D8" w:rsidP="00F906B7">
            <w:r w:rsidRPr="00301314">
              <w:t xml:space="preserve">Design </w:t>
            </w:r>
            <w:proofErr w:type="spellStart"/>
            <w:r w:rsidRPr="00301314">
              <w:t>thinking</w:t>
            </w:r>
            <w:proofErr w:type="spellEnd"/>
            <w:r w:rsidRPr="00301314">
              <w:t xml:space="preserve"> – </w:t>
            </w:r>
            <w:r>
              <w:t xml:space="preserve">burza mózgów i </w:t>
            </w:r>
            <w:r w:rsidRPr="00301314">
              <w:t>praca nad prototypowym</w:t>
            </w:r>
            <w:r>
              <w:t>i rozwiązaniami</w:t>
            </w:r>
            <w:r w:rsidR="008E26C8">
              <w:t xml:space="preserve"> pod koniec jednostek wykładowych, konsultacji lub forum na </w:t>
            </w:r>
            <w:proofErr w:type="spellStart"/>
            <w:r w:rsidR="008E26C8">
              <w:t>Moodle</w:t>
            </w:r>
            <w:proofErr w:type="spellEnd"/>
          </w:p>
        </w:tc>
        <w:tc>
          <w:tcPr>
            <w:tcW w:w="2756" w:type="dxa"/>
          </w:tcPr>
          <w:p w14:paraId="6FEE8EAF" w14:textId="65D445D4" w:rsidR="00F906B7" w:rsidRDefault="008E26C8" w:rsidP="00F906B7">
            <w:r>
              <w:t>Test</w:t>
            </w:r>
          </w:p>
        </w:tc>
        <w:tc>
          <w:tcPr>
            <w:tcW w:w="2584" w:type="dxa"/>
          </w:tcPr>
          <w:p w14:paraId="2DE4D4CC" w14:textId="37BCDB09" w:rsidR="00F906B7" w:rsidRDefault="006426D8" w:rsidP="00F906B7">
            <w:r>
              <w:t>Protokół zaliczeniowy</w:t>
            </w:r>
          </w:p>
        </w:tc>
      </w:tr>
    </w:tbl>
    <w:p w14:paraId="41EA4048" w14:textId="77777777" w:rsidR="00C961A5" w:rsidRDefault="00C961A5" w:rsidP="004E2DB4">
      <w:pPr>
        <w:spacing w:after="0"/>
      </w:pPr>
    </w:p>
    <w:p w14:paraId="52B0E03F" w14:textId="77777777" w:rsidR="003C473D" w:rsidRDefault="003C473D" w:rsidP="003C473D">
      <w:pPr>
        <w:pStyle w:val="Akapitzlist"/>
        <w:ind w:left="1080"/>
        <w:rPr>
          <w:b/>
        </w:rPr>
      </w:pPr>
    </w:p>
    <w:p w14:paraId="6697C5C6" w14:textId="77777777" w:rsidR="00BD58F9" w:rsidRDefault="00BD58F9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Kryteria oceny</w:t>
      </w:r>
      <w:r w:rsidR="00C748B5">
        <w:rPr>
          <w:b/>
        </w:rPr>
        <w:t>, wagi…</w:t>
      </w:r>
    </w:p>
    <w:p w14:paraId="678B248E" w14:textId="0A48A6F4" w:rsidR="00BD58F9" w:rsidRPr="00BD58F9" w:rsidRDefault="00F906B7" w:rsidP="00BD58F9">
      <w:pPr>
        <w:rPr>
          <w:b/>
        </w:rPr>
      </w:pPr>
      <w:r>
        <w:t xml:space="preserve">Zaliczenie pisemne w formie testu wielokrotnego wyboru lub pytań </w:t>
      </w:r>
      <w:r w:rsidR="002C7938">
        <w:t>pół</w:t>
      </w:r>
      <w:r>
        <w:t xml:space="preserve">otwartych. </w:t>
      </w:r>
      <w:r>
        <w:br/>
        <w:t xml:space="preserve">Ocena </w:t>
      </w:r>
      <w:proofErr w:type="spellStart"/>
      <w:r>
        <w:t>ndst</w:t>
      </w:r>
      <w:proofErr w:type="spellEnd"/>
      <w:r>
        <w:t xml:space="preserve">: student nie: rozpoznaje poszczególnych postaci własności intelektualnej lub nie klasyfikuje dóbr niematerialnych jako kapitału lub nie zna różnorodności instrumentów ochrony własności intelektualnej lub nie zna czynności materialno-technicznych wykonywanych po wybraniu właściwego instrumentu ochrony. </w:t>
      </w:r>
      <w:r>
        <w:br/>
        <w:t xml:space="preserve">Ocena </w:t>
      </w:r>
      <w:proofErr w:type="spellStart"/>
      <w:r>
        <w:t>dst</w:t>
      </w:r>
      <w:proofErr w:type="spellEnd"/>
      <w:r>
        <w:t xml:space="preserve">: student słabo: rozpoznaje poszczególne postaci własności intelektualnej i klasyfikuje dobra niematerialne jako kapitał i zna różnorodność instrumentów ochrony własności intelektualnej i zna czynności materialno-techniczne wykonywane po wybraniu właściwego instrumentu ochrony. </w:t>
      </w:r>
      <w:r>
        <w:br/>
        <w:t xml:space="preserve">Ocena </w:t>
      </w:r>
      <w:proofErr w:type="spellStart"/>
      <w:r>
        <w:t>db</w:t>
      </w:r>
      <w:proofErr w:type="spellEnd"/>
      <w:r>
        <w:t xml:space="preserve">: student dobrze: rozpoznaje poszczególne postaci własności intelektualnej i klasyfikuje dobra niematerialne jako kapitał i zna różnorodność instrumentów ochrony własności intelektualnej i zna czynności materialno-techniczne wykonywane po wybraniu właściwego instrumentu ochrony. </w:t>
      </w:r>
      <w:r>
        <w:br/>
        <w:t xml:space="preserve">Ocena </w:t>
      </w:r>
      <w:proofErr w:type="spellStart"/>
      <w:r>
        <w:t>bdb</w:t>
      </w:r>
      <w:proofErr w:type="spellEnd"/>
      <w:r>
        <w:t>: student bardzo dobrze: rozpoznaje poszczególne postaci własności intelektualnej i klasyfikuje dobra niematerialne jako kapitał i zna różnorodność instrumentów ochrony własności intelektualnej i zna czynności materialno-techniczne wykonywane po wybraniu właściwego instrumentu ochrony.</w:t>
      </w:r>
    </w:p>
    <w:p w14:paraId="60063D71" w14:textId="77777777" w:rsidR="003C473D" w:rsidRDefault="003C473D">
      <w:pPr>
        <w:rPr>
          <w:b/>
        </w:rPr>
      </w:pPr>
      <w:r>
        <w:rPr>
          <w:b/>
        </w:rPr>
        <w:br w:type="page"/>
      </w:r>
    </w:p>
    <w:p w14:paraId="6A6FFA6E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 w:rsidRPr="004E2DB4">
        <w:rPr>
          <w:b/>
        </w:rPr>
        <w:lastRenderedPageBreak/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4E2DB4" w:rsidRPr="004E2DB4" w14:paraId="663ECC2B" w14:textId="77777777" w:rsidTr="004E2DB4">
        <w:tc>
          <w:tcPr>
            <w:tcW w:w="4606" w:type="dxa"/>
          </w:tcPr>
          <w:p w14:paraId="64E73AC1" w14:textId="77777777" w:rsidR="004E2DB4" w:rsidRPr="004E2DB4" w:rsidRDefault="004E2DB4" w:rsidP="004E2DB4">
            <w:r w:rsidRPr="004E2DB4">
              <w:t>Forma aktywności studenta</w:t>
            </w:r>
          </w:p>
        </w:tc>
        <w:tc>
          <w:tcPr>
            <w:tcW w:w="4606" w:type="dxa"/>
          </w:tcPr>
          <w:p w14:paraId="15C5F46E" w14:textId="77777777" w:rsidR="004E2DB4" w:rsidRPr="004E2DB4" w:rsidRDefault="004E2DB4" w:rsidP="004E2DB4">
            <w:r w:rsidRPr="004E2DB4">
              <w:t>Liczba godzin</w:t>
            </w:r>
          </w:p>
        </w:tc>
      </w:tr>
      <w:tr w:rsidR="004E2DB4" w14:paraId="03BF6259" w14:textId="77777777" w:rsidTr="004E2DB4">
        <w:tc>
          <w:tcPr>
            <w:tcW w:w="4606" w:type="dxa"/>
          </w:tcPr>
          <w:p w14:paraId="122B6DE8" w14:textId="77777777" w:rsidR="004E2DB4" w:rsidRDefault="004E2DB4" w:rsidP="004E2DB4">
            <w:r>
              <w:t xml:space="preserve">Liczba godzin kontaktowych z nauczycielem </w:t>
            </w:r>
          </w:p>
          <w:p w14:paraId="2724206B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2FFC791F" w14:textId="152A7BDB" w:rsidR="004E2DB4" w:rsidRDefault="002C7938" w:rsidP="004E2DB4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4E2DB4" w14:paraId="14B12B7A" w14:textId="77777777" w:rsidTr="004E2DB4">
        <w:tc>
          <w:tcPr>
            <w:tcW w:w="4606" w:type="dxa"/>
          </w:tcPr>
          <w:p w14:paraId="602C99C4" w14:textId="77777777" w:rsidR="004E2DB4" w:rsidRPr="004E2DB4" w:rsidRDefault="004E2DB4" w:rsidP="004E2DB4">
            <w:r w:rsidRPr="004E2DB4">
              <w:t>Liczba godzin indywidualnej pracy studenta</w:t>
            </w:r>
          </w:p>
          <w:p w14:paraId="2A13DF34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5766900D" w14:textId="7DFA7DDE" w:rsidR="004E2DB4" w:rsidRDefault="002C7938" w:rsidP="004E2DB4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</w:tr>
    </w:tbl>
    <w:p w14:paraId="6BDD983F" w14:textId="77777777" w:rsidR="004E2DB4" w:rsidRDefault="004E2DB4" w:rsidP="004E2DB4">
      <w:pPr>
        <w:spacing w:after="0"/>
        <w:rPr>
          <w:b/>
        </w:rPr>
      </w:pPr>
    </w:p>
    <w:p w14:paraId="2F269A2E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2DB4" w14:paraId="4871FAB1" w14:textId="77777777" w:rsidTr="002C7938">
        <w:tc>
          <w:tcPr>
            <w:tcW w:w="9062" w:type="dxa"/>
          </w:tcPr>
          <w:p w14:paraId="76F5A2C3" w14:textId="77777777" w:rsidR="004E2DB4" w:rsidRPr="00C52E02" w:rsidRDefault="004051F6" w:rsidP="004051F6">
            <w:r>
              <w:t>Literatura p</w:t>
            </w:r>
            <w:r w:rsidR="00C52E02" w:rsidRPr="00C52E02">
              <w:t>odstawowa</w:t>
            </w:r>
          </w:p>
        </w:tc>
      </w:tr>
      <w:tr w:rsidR="002C7938" w14:paraId="5C4AF0C9" w14:textId="77777777" w:rsidTr="002C7938">
        <w:tc>
          <w:tcPr>
            <w:tcW w:w="9062" w:type="dxa"/>
          </w:tcPr>
          <w:p w14:paraId="6B79D1CA" w14:textId="06713CC2" w:rsidR="002C7938" w:rsidRDefault="002C7938" w:rsidP="002C7938">
            <w:pPr>
              <w:rPr>
                <w:sz w:val="24"/>
                <w:szCs w:val="24"/>
              </w:rPr>
            </w:pPr>
            <w:r>
              <w:t xml:space="preserve">K. Machowicz, </w:t>
            </w:r>
            <w:r>
              <w:rPr>
                <w:i/>
                <w:sz w:val="24"/>
                <w:szCs w:val="24"/>
              </w:rPr>
              <w:t>Przestrzeganie praw człowieka w budowaniu przewagi konkurencyjnej przedsiębiorstw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Difin</w:t>
            </w:r>
            <w:proofErr w:type="spellEnd"/>
            <w:r>
              <w:rPr>
                <w:sz w:val="24"/>
                <w:szCs w:val="24"/>
              </w:rPr>
              <w:t xml:space="preserve"> 2020, s. 71-108 (rozdział IV i V)</w:t>
            </w:r>
          </w:p>
          <w:p w14:paraId="57AB28D9" w14:textId="3B721A3C" w:rsidR="002C7938" w:rsidRPr="00C52E02" w:rsidRDefault="002C7938" w:rsidP="002C7938">
            <w:r>
              <w:rPr>
                <w:sz w:val="24"/>
                <w:szCs w:val="24"/>
              </w:rPr>
              <w:t xml:space="preserve">K. Machowicz, </w:t>
            </w:r>
            <w:r>
              <w:rPr>
                <w:i/>
                <w:sz w:val="24"/>
                <w:szCs w:val="24"/>
              </w:rPr>
              <w:t>Wolność wypowiedzi w Polsce wobec ochrony prawa do prywatności</w:t>
            </w:r>
            <w:r>
              <w:rPr>
                <w:sz w:val="24"/>
                <w:szCs w:val="24"/>
              </w:rPr>
              <w:t>, PWN, Warszawa 2018, s. 26-72 (1.1.2., 1.2, 1.3), s. 97-136 (3.1.i 3.2)</w:t>
            </w:r>
          </w:p>
        </w:tc>
      </w:tr>
      <w:tr w:rsidR="002C7938" w14:paraId="36667D29" w14:textId="77777777" w:rsidTr="002C7938">
        <w:tc>
          <w:tcPr>
            <w:tcW w:w="9062" w:type="dxa"/>
          </w:tcPr>
          <w:p w14:paraId="420434B3" w14:textId="7E6253EB" w:rsidR="002C7938" w:rsidRPr="00C52E02" w:rsidRDefault="002C7938" w:rsidP="002C7938">
            <w:r>
              <w:t>Literatura u</w:t>
            </w:r>
            <w:r w:rsidRPr="00C52E02">
              <w:t>zupełniająca</w:t>
            </w:r>
          </w:p>
        </w:tc>
      </w:tr>
      <w:tr w:rsidR="002C7938" w14:paraId="669B67EF" w14:textId="77777777" w:rsidTr="002C7938">
        <w:tc>
          <w:tcPr>
            <w:tcW w:w="9062" w:type="dxa"/>
          </w:tcPr>
          <w:p w14:paraId="14DC6856" w14:textId="1D3A6A6A" w:rsidR="002C7938" w:rsidRDefault="002C7938" w:rsidP="002C7938">
            <w:pPr>
              <w:rPr>
                <w:b/>
              </w:rPr>
            </w:pPr>
            <w:proofErr w:type="gramStart"/>
            <w:r>
              <w:t>ustawa</w:t>
            </w:r>
            <w:proofErr w:type="gramEnd"/>
            <w:r>
              <w:t xml:space="preserve"> z dnia 4 lutego 1994 r. o prawie autorskim i prawach pokrewnych - wyciąg </w:t>
            </w:r>
            <w:r>
              <w:br/>
              <w:t>ustawa z dnia 30 czerwca 2000 r. Prawo własności przemysłowej - wyciąg</w:t>
            </w:r>
          </w:p>
        </w:tc>
      </w:tr>
    </w:tbl>
    <w:p w14:paraId="72EF1A9B" w14:textId="77777777" w:rsidR="004E2DB4" w:rsidRDefault="004E2DB4" w:rsidP="004E2DB4">
      <w:pPr>
        <w:spacing w:after="0"/>
        <w:rPr>
          <w:b/>
        </w:rPr>
      </w:pPr>
    </w:p>
    <w:p w14:paraId="59DCA3E5" w14:textId="77777777" w:rsidR="00C961A5" w:rsidRPr="002D1A52" w:rsidRDefault="00C961A5" w:rsidP="002D1A52"/>
    <w:sectPr w:rsidR="00C961A5" w:rsidRPr="002D1A52" w:rsidSect="00B149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C1C12" w14:textId="77777777" w:rsidR="00561E46" w:rsidRDefault="00561E46" w:rsidP="00B04272">
      <w:pPr>
        <w:spacing w:after="0" w:line="240" w:lineRule="auto"/>
      </w:pPr>
      <w:r>
        <w:separator/>
      </w:r>
    </w:p>
  </w:endnote>
  <w:endnote w:type="continuationSeparator" w:id="0">
    <w:p w14:paraId="477410F9" w14:textId="77777777" w:rsidR="00561E46" w:rsidRDefault="00561E46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7E0E6" w14:textId="77777777" w:rsidR="00ED3F40" w:rsidRDefault="00ED3F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ED99E" w14:textId="77777777" w:rsidR="00ED3F40" w:rsidRDefault="00ED3F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47EFC" w14:textId="77777777" w:rsidR="00ED3F40" w:rsidRDefault="00ED3F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6E08E" w14:textId="77777777" w:rsidR="00561E46" w:rsidRDefault="00561E46" w:rsidP="00B04272">
      <w:pPr>
        <w:spacing w:after="0" w:line="240" w:lineRule="auto"/>
      </w:pPr>
      <w:r>
        <w:separator/>
      </w:r>
    </w:p>
  </w:footnote>
  <w:footnote w:type="continuationSeparator" w:id="0">
    <w:p w14:paraId="1D56CC3C" w14:textId="77777777" w:rsidR="00561E46" w:rsidRDefault="00561E46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1306C" w14:textId="77777777" w:rsidR="00ED3F40" w:rsidRDefault="00ED3F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ED36C" w14:textId="77777777" w:rsidR="00B04272" w:rsidRPr="00B04272" w:rsidRDefault="00ED3F40" w:rsidP="00B04272">
    <w:pPr>
      <w:pStyle w:val="Nagwek"/>
      <w:jc w:val="right"/>
      <w:rPr>
        <w:i/>
      </w:rPr>
    </w:pPr>
    <w:r>
      <w:rPr>
        <w:i/>
      </w:rPr>
      <w:t>Załącznik nr 5</w:t>
    </w:r>
  </w:p>
  <w:p w14:paraId="5F118583" w14:textId="77777777" w:rsidR="00B04272" w:rsidRDefault="00B0427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15285" w14:textId="77777777" w:rsidR="00ED3F40" w:rsidRDefault="00ED3F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22"/>
  </w:num>
  <w:num w:numId="4">
    <w:abstractNumId w:val="24"/>
  </w:num>
  <w:num w:numId="5">
    <w:abstractNumId w:val="5"/>
  </w:num>
  <w:num w:numId="6">
    <w:abstractNumId w:val="23"/>
  </w:num>
  <w:num w:numId="7">
    <w:abstractNumId w:val="4"/>
  </w:num>
  <w:num w:numId="8">
    <w:abstractNumId w:val="17"/>
  </w:num>
  <w:num w:numId="9">
    <w:abstractNumId w:val="1"/>
  </w:num>
  <w:num w:numId="10">
    <w:abstractNumId w:val="10"/>
  </w:num>
  <w:num w:numId="11">
    <w:abstractNumId w:val="13"/>
  </w:num>
  <w:num w:numId="12">
    <w:abstractNumId w:val="6"/>
  </w:num>
  <w:num w:numId="13">
    <w:abstractNumId w:val="21"/>
  </w:num>
  <w:num w:numId="14">
    <w:abstractNumId w:val="20"/>
  </w:num>
  <w:num w:numId="15">
    <w:abstractNumId w:val="0"/>
  </w:num>
  <w:num w:numId="16">
    <w:abstractNumId w:val="16"/>
  </w:num>
  <w:num w:numId="17">
    <w:abstractNumId w:val="8"/>
  </w:num>
  <w:num w:numId="18">
    <w:abstractNumId w:val="15"/>
  </w:num>
  <w:num w:numId="19">
    <w:abstractNumId w:val="9"/>
  </w:num>
  <w:num w:numId="20">
    <w:abstractNumId w:val="2"/>
  </w:num>
  <w:num w:numId="21">
    <w:abstractNumId w:val="12"/>
  </w:num>
  <w:num w:numId="22">
    <w:abstractNumId w:val="14"/>
  </w:num>
  <w:num w:numId="23">
    <w:abstractNumId w:val="7"/>
  </w:num>
  <w:num w:numId="24">
    <w:abstractNumId w:val="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59"/>
    <w:rsid w:val="000153A0"/>
    <w:rsid w:val="000351F2"/>
    <w:rsid w:val="00047D65"/>
    <w:rsid w:val="0005709E"/>
    <w:rsid w:val="00084ADA"/>
    <w:rsid w:val="000B3BEC"/>
    <w:rsid w:val="0010310C"/>
    <w:rsid w:val="001051F5"/>
    <w:rsid w:val="00115BF8"/>
    <w:rsid w:val="001A5D37"/>
    <w:rsid w:val="001C0192"/>
    <w:rsid w:val="001C278A"/>
    <w:rsid w:val="00216EC6"/>
    <w:rsid w:val="002754C6"/>
    <w:rsid w:val="002778F0"/>
    <w:rsid w:val="002C7938"/>
    <w:rsid w:val="002D1A52"/>
    <w:rsid w:val="002D3614"/>
    <w:rsid w:val="002F2985"/>
    <w:rsid w:val="002F72F0"/>
    <w:rsid w:val="00304259"/>
    <w:rsid w:val="00317BBA"/>
    <w:rsid w:val="0033369E"/>
    <w:rsid w:val="003501E6"/>
    <w:rsid w:val="00372079"/>
    <w:rsid w:val="003C473D"/>
    <w:rsid w:val="003C65DA"/>
    <w:rsid w:val="003D4626"/>
    <w:rsid w:val="004051F6"/>
    <w:rsid w:val="00450FA6"/>
    <w:rsid w:val="004B6F7B"/>
    <w:rsid w:val="004E2DB4"/>
    <w:rsid w:val="004F73CF"/>
    <w:rsid w:val="00512DFF"/>
    <w:rsid w:val="00556FCA"/>
    <w:rsid w:val="00561E46"/>
    <w:rsid w:val="0058319C"/>
    <w:rsid w:val="00583DB9"/>
    <w:rsid w:val="005A3D71"/>
    <w:rsid w:val="005A7D2F"/>
    <w:rsid w:val="006033B3"/>
    <w:rsid w:val="006426D8"/>
    <w:rsid w:val="00646F79"/>
    <w:rsid w:val="006534C9"/>
    <w:rsid w:val="0066271E"/>
    <w:rsid w:val="00685044"/>
    <w:rsid w:val="00732E45"/>
    <w:rsid w:val="00757261"/>
    <w:rsid w:val="007841B3"/>
    <w:rsid w:val="00793C6D"/>
    <w:rsid w:val="007D0038"/>
    <w:rsid w:val="007D6295"/>
    <w:rsid w:val="008215CC"/>
    <w:rsid w:val="008E26C8"/>
    <w:rsid w:val="008E2C5B"/>
    <w:rsid w:val="008E4017"/>
    <w:rsid w:val="009168BF"/>
    <w:rsid w:val="00933F07"/>
    <w:rsid w:val="009D424F"/>
    <w:rsid w:val="00A40520"/>
    <w:rsid w:val="00A5036D"/>
    <w:rsid w:val="00A55656"/>
    <w:rsid w:val="00A76589"/>
    <w:rsid w:val="00B04272"/>
    <w:rsid w:val="00B1490C"/>
    <w:rsid w:val="00B458DA"/>
    <w:rsid w:val="00BC4DCB"/>
    <w:rsid w:val="00BD58F9"/>
    <w:rsid w:val="00BE454D"/>
    <w:rsid w:val="00C371EB"/>
    <w:rsid w:val="00C37884"/>
    <w:rsid w:val="00C37A43"/>
    <w:rsid w:val="00C52E02"/>
    <w:rsid w:val="00C748B5"/>
    <w:rsid w:val="00C961A5"/>
    <w:rsid w:val="00CD7096"/>
    <w:rsid w:val="00D27DDC"/>
    <w:rsid w:val="00D406F6"/>
    <w:rsid w:val="00DB2EF1"/>
    <w:rsid w:val="00DB781E"/>
    <w:rsid w:val="00DC23AB"/>
    <w:rsid w:val="00E12CE4"/>
    <w:rsid w:val="00E35724"/>
    <w:rsid w:val="00E43C97"/>
    <w:rsid w:val="00EB57B8"/>
    <w:rsid w:val="00ED3F40"/>
    <w:rsid w:val="00F54F71"/>
    <w:rsid w:val="00F906B7"/>
    <w:rsid w:val="00FA50B3"/>
    <w:rsid w:val="00FC52FA"/>
    <w:rsid w:val="00FC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ED85E"/>
  <w15:docId w15:val="{396DB8A5-28AD-4064-B78D-00BCCAC5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9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52439-8DA5-40ED-967B-E043263C8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792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Autor</cp:lastModifiedBy>
  <cp:revision>2</cp:revision>
  <cp:lastPrinted>2019-01-23T11:10:00Z</cp:lastPrinted>
  <dcterms:created xsi:type="dcterms:W3CDTF">2022-04-26T05:27:00Z</dcterms:created>
  <dcterms:modified xsi:type="dcterms:W3CDTF">2022-04-26T05:27:00Z</dcterms:modified>
</cp:coreProperties>
</file>