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Cykl kształcenia od roku akademickiego: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31.999999999999993" w:type="dxa"/>
        <w:tblLayout w:type="fixed"/>
        <w:tblLook w:val="00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Praktyczna nauka języka angielskiego – język angielski w zastosowaniach specjalistycznych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Practical English – English for Specific Purposes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0.0" w:type="dxa"/>
        <w:jc w:val="left"/>
        <w:tblLayout w:type="fixed"/>
        <w:tblLook w:val="0000"/>
      </w:tblPr>
      <w:tblGrid>
        <w:gridCol w:w="4925"/>
        <w:gridCol w:w="4925"/>
        <w:tblGridChange w:id="0">
          <w:tblGrid>
            <w:gridCol w:w="4925"/>
            <w:gridCol w:w="492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dr Anna Prażmowska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0.0" w:type="dxa"/>
        <w:jc w:val="left"/>
        <w:tblLayout w:type="fixed"/>
        <w:tblLook w:val="0000"/>
      </w:tblPr>
      <w:tblGrid>
        <w:gridCol w:w="2344"/>
        <w:gridCol w:w="2080"/>
        <w:gridCol w:w="2080"/>
        <w:gridCol w:w="3346"/>
        <w:tblGridChange w:id="0">
          <w:tblGrid>
            <w:gridCol w:w="2344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V, 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244.0" w:type="dxa"/>
        <w:tblLayout w:type="fixed"/>
        <w:tblLook w:val="0000"/>
      </w:tblPr>
      <w:tblGrid>
        <w:gridCol w:w="2093"/>
        <w:gridCol w:w="7513"/>
        <w:tblGridChange w:id="0">
          <w:tblGrid>
            <w:gridCol w:w="2093"/>
            <w:gridCol w:w="7513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0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Znajomość języka angielskiego na poziomie B2 wg Europejskiego Systemu Opisu Kształcenia Językowego Rady Europy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leader="none" w:pos="360"/>
          <w:tab w:val="left" w:leader="none" w:pos="1080"/>
        </w:tabs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numPr>
          <w:ilvl w:val="0"/>
          <w:numId w:val="1"/>
        </w:numPr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244.0" w:type="dxa"/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C1 – uzyskanie wiedzy w zakresie angielskiego języka prawniczego, medycznego, technicznego oraz języka angielskiego stosowanego w turystyce, modzie i marketingu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C2 – doskonalenie umiejętności aktywnego wykorzystywania poznanego słownictwa specjalistycznego we właściwych formach i kontekstach komunikacyjnych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C3 – kształtowanie u studentów umiejętności i kompetencji językowych w zakresie języka</w:t>
            </w:r>
          </w:p>
          <w:p w:rsidR="00000000" w:rsidDel="00000000" w:rsidP="00000000" w:rsidRDefault="00000000" w:rsidRPr="00000000" w14:paraId="00000056">
            <w:pPr>
              <w:keepLines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angielskiego oraz zastosowanie w praktyce autentycznego aktu komunikacyjnego obejmującego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wszystkie sprawności językowe: słuchanie, mówienie, czytanie i pisanie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244.0" w:type="dxa"/>
        <w:tblLayout w:type="fixed"/>
        <w:tblLook w:val="0000"/>
      </w:tblPr>
      <w:tblGrid>
        <w:gridCol w:w="920"/>
        <w:gridCol w:w="7218"/>
        <w:gridCol w:w="1609"/>
        <w:tblGridChange w:id="0">
          <w:tblGrid>
            <w:gridCol w:w="920"/>
            <w:gridCol w:w="7218"/>
            <w:gridCol w:w="1609"/>
          </w:tblGrid>
        </w:tblGridChange>
      </w:tblGrid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identyfikuje podstawowe mechanizmy funkcjonowania specjalistycznego języka angielskiego oraz polskie odpowiedniki specjalistycznego słownictwa we wskazanych kontekstach (tj. turystyka, prawo, medycyna, moda, technika, marketing).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K_W01 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rozpoznaje konstrukcje, związki wyrazowe oraz rejestry języka typowe dla specjalistycznego języka angielskiego we wskazanych kontekstach.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K_W06, 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1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.914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w sposób precyzyjny oraz poprawny logicznie i językowo wyraża własne myśli i poglądy na tematy związane ze wskazanymi kontekstami specjalistycznymi, wykorzystując odpowiednie dla nich rejestry języka.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K_U04, K_U05, K_U06, </w:t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stosuje specjalistyczną terminologię w języku angielskim podczas wykonywania prac indywidualnych oraz uczestniczenia w pracach zespołowych i dyskusjach dotyczących wskazanych kontekstów specjalistycznych i typowych sytuacji profesjonalnych.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K_U03, K_U04, 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samodzielnie poszerza swoje kompetencje zakresie wiedzy i umiejętności praktycznych dotyczących specjalistycznego języka angielskiego we wskazanych kontekstach, kierując się wskazówkami prowadzącego.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K_U03, 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demonstruje świadomość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wagi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jakości i poziomu uzyskanego narzędzia w postaci specjalistycznego języka angielskiego w kontekstach pozauczelnianych.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K_K01, 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wyciąga wnioski dotyczące roli i znaczenia specjalistycznego języka angielskiego w międzynarodowej komunikacji we wskazanych kontekstach profesjonalnych i życiu zawodowym.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leader="none" w:pos="1080"/>
        </w:tabs>
        <w:spacing w:after="200" w:before="0" w:line="240" w:lineRule="auto"/>
        <w:ind w:left="393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numPr>
          <w:ilvl w:val="0"/>
          <w:numId w:val="1"/>
        </w:numPr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Opis przedmiotu / treści programowe</w:t>
      </w:r>
    </w:p>
    <w:tbl>
      <w:tblPr>
        <w:tblStyle w:val="Table7"/>
        <w:tblW w:w="9747.0" w:type="dxa"/>
        <w:jc w:val="left"/>
        <w:tblInd w:w="244.0" w:type="dxa"/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4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Zajęcia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semestrze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dotyczą zagadnień z zakresu specjalistycznego języka angielskiego w następujących kontekstach zawodowych: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branża turystyczna (m.in.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biura podróży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, transpor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branża lotnicza, marketing w turystyce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prawo (m.in.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podstawowe terminy i pojęcia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elementy prawa karnego i cywilnego, w tym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prawa kontraktów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medycyna (m.in.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anatomia, badania, zabiegi i sprzęt medyczny, choroby zakaźne i epidemiologia, oddziały szpitalne, specjalizacje lekarskie, służba zdrowia w Wielkiej Brytanii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Zajęcia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semestrze 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dotyczą zagadnień z zakresu specjalistycznego języka angielskiego w następujących kontekstach zawodowych: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branża modowa (m.in.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rozwój branży modowej w XX w., tekstylia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projektowanie i produkcja odzieży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marketing w branży modowej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spacing w:after="0" w:before="0" w:line="240" w:lineRule="auto"/>
              <w:ind w:left="260" w:right="0" w:hanging="218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technika (m.in.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materiały i procesy produkcyjne, elektryczność, energetyka, technika komputerowa, automatyka i robotyka, pojazdy drogowe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spacing w:after="0" w:before="0" w:line="240" w:lineRule="auto"/>
              <w:ind w:left="260" w:right="0" w:hanging="21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marketing (m.in.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„marketing mix”, analiza SWOT, strategia i plan marketingowy, badania marketingowe, dystrybucja produktów, ustalanie cen, reklama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tabs>
          <w:tab w:val="left" w:leader="none" w:pos="1080"/>
        </w:tabs>
        <w:spacing w:after="200" w:before="0" w:line="240" w:lineRule="auto"/>
        <w:ind w:left="501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244.0" w:type="dxa"/>
        <w:tblLayout w:type="fixed"/>
        <w:tblLook w:val="0000"/>
      </w:tblPr>
      <w:tblGrid>
        <w:gridCol w:w="920"/>
        <w:gridCol w:w="2942"/>
        <w:gridCol w:w="2942"/>
        <w:gridCol w:w="2943"/>
        <w:tblGridChange w:id="0">
          <w:tblGrid>
            <w:gridCol w:w="920"/>
            <w:gridCol w:w="2942"/>
            <w:gridCol w:w="2942"/>
            <w:gridCol w:w="2943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76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Miniwykład wprowadzający / Wyjaśnienie poszczególnych zagadnień; Praca z tekstem;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Miniwykład wprowadzający / Wyjaśnienie poszczególnych zagadnień;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1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Praca zespołowa; Analiza tekstu; Dyskusja;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Monitorowanie i informacja zwrotna od grupy lub prowadzącego;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Zapis w arkuszu ocen; 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Praca zespołowa; Burza mózgów/giełda pomysłów; Praca indywidualna; Analiza tekstu;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Monitorowanie i informacja zwrotna od grupy lub prowadzącego;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Zapis w arkuszu ocen; 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Praca indywidualna;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Praca w grupach;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tabs>
          <w:tab w:val="left" w:leader="none" w:pos="1080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1"/>
        <w:numPr>
          <w:ilvl w:val="0"/>
          <w:numId w:val="1"/>
        </w:numPr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8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W każdym semestrze 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tudenci oceniani są na podstawie (i) wyników trzech testów pisemnych wymagających wykazania praktycznej znajomości stosowania specjalistycznego słownictwa angielskiego poznanego na zajęciach w </w:t>
      </w:r>
      <w:r w:rsidDel="00000000" w:rsidR="00000000" w:rsidRPr="00000000">
        <w:rPr>
          <w:sz w:val="22"/>
          <w:szCs w:val="22"/>
          <w:rtl w:val="0"/>
        </w:rPr>
        <w:t xml:space="preserve">wybranych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kontekstach zawodowych (</w:t>
      </w:r>
      <w:r w:rsidDel="00000000" w:rsidR="00000000" w:rsidRPr="00000000">
        <w:rPr>
          <w:sz w:val="22"/>
          <w:szCs w:val="22"/>
          <w:rtl w:val="0"/>
        </w:rPr>
        <w:t xml:space="preserve">75% oceny końcowej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2"/>
          <w:szCs w:val="22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(ii) prac domowych wykonywanych na platformie Moodle (25% oceny końcowej). </w:t>
      </w:r>
      <w:r w:rsidDel="00000000" w:rsidR="00000000" w:rsidRPr="00000000">
        <w:rPr>
          <w:sz w:val="22"/>
          <w:szCs w:val="22"/>
          <w:rtl w:val="0"/>
        </w:rPr>
        <w:t xml:space="preserve">Warunkiem otrzymania zaliczenia kursu jest (i) obecność na zajęciach w wymaganym wymiarze oraz (ii) uzyskanie co najmniej 60% maksymalnej liczby punktów łącznie ze wszystkich testów i prac domowych.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Ocena końcowa uwzględnia również aktywny udział studentów w dyskusjach podczas zajęć.</w:t>
      </w:r>
    </w:p>
    <w:p w:rsidR="00000000" w:rsidDel="00000000" w:rsidP="00000000" w:rsidRDefault="00000000" w:rsidRPr="00000000" w14:paraId="000000B9">
      <w:pPr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BA">
      <w:pPr>
        <w:tabs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BB">
      <w:pPr>
        <w:tabs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BC">
      <w:pPr>
        <w:tabs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BD">
      <w:pPr>
        <w:tabs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BE">
      <w:pPr>
        <w:tabs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BF">
      <w:pPr>
        <w:tabs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C0">
      <w:pPr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700.0" w:type="dxa"/>
        <w:jc w:val="left"/>
        <w:tblInd w:w="244.0" w:type="dxa"/>
        <w:tblLayout w:type="fixed"/>
        <w:tblLook w:val="00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tabs>
          <w:tab w:val="left" w:leader="none" w:pos="567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tabs>
          <w:tab w:val="left" w:leader="none" w:pos="393"/>
          <w:tab w:val="left" w:leader="none" w:pos="567"/>
        </w:tabs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880.0" w:type="dxa"/>
        <w:jc w:val="left"/>
        <w:tblInd w:w="244.0" w:type="dxa"/>
        <w:tblLayout w:type="fixed"/>
        <w:tblLook w:val="00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1"/>
              <w:spacing w:after="120" w:before="12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Literatura podstawowa (wybrane rozdziały)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Brown, Gillian D., and Sally Rice.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Professional English in Use – Law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Cambridge, UK: Cambridge University Press.</w:t>
            </w:r>
          </w:p>
          <w:p w:rsidR="00000000" w:rsidDel="00000000" w:rsidP="00000000" w:rsidRDefault="00000000" w:rsidRPr="00000000" w14:paraId="000000CD">
            <w:pPr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Farrall, Cate, and Marianne Lindsley. 2008.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Professional English in Use – Marketing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Cambridge, UK: Cambridge University Press.</w:t>
            </w:r>
          </w:p>
          <w:p w:rsidR="00000000" w:rsidDel="00000000" w:rsidP="00000000" w:rsidRDefault="00000000" w:rsidRPr="00000000" w14:paraId="000000CE">
            <w:pPr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Glendinning, Eric H., and Ron Howard.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Professional English in Use – Medicine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Cambridge, UK: Cambridge University Press.</w:t>
            </w:r>
          </w:p>
          <w:p w:rsidR="00000000" w:rsidDel="00000000" w:rsidP="00000000" w:rsidRDefault="00000000" w:rsidRPr="00000000" w14:paraId="000000CF">
            <w:pPr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Sopranzi, Sabrina. 2012.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Flash on English: For Mechanics, Electronics &amp; Technical Assistance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Recanati: ELI.</w:t>
            </w:r>
          </w:p>
          <w:p w:rsidR="00000000" w:rsidDel="00000000" w:rsidP="00000000" w:rsidRDefault="00000000" w:rsidRPr="00000000" w14:paraId="000000D0">
            <w:pPr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Strutt, Peter. 2003.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English For International Tourism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Harlow, UK: Pearson Education Limited.</w:t>
            </w:r>
          </w:p>
          <w:p w:rsidR="00000000" w:rsidDel="00000000" w:rsidP="00000000" w:rsidRDefault="00000000" w:rsidRPr="00000000" w14:paraId="000000D1">
            <w:pPr>
              <w:spacing w:after="120" w:before="12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Ward, Mary E. 2012.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English for the Fashion Industry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Oxford, UK: Oxford University Press.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1"/>
              <w:spacing w:after="120" w:before="120" w:line="240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Literatura uzupełniająca (wybrane rozdziały)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Bonamy, David. 2011.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Technical English 1, 2, 3,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Harlow: Pearson Education Limited.</w:t>
            </w:r>
          </w:p>
          <w:p w:rsidR="00000000" w:rsidDel="00000000" w:rsidP="00000000" w:rsidRDefault="00000000" w:rsidRPr="00000000" w14:paraId="000000D4">
            <w:pPr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Brieger, Nick.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Test Your Professional English – Law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Harlow, UK: Pearson Education Limited.</w:t>
            </w:r>
          </w:p>
          <w:p w:rsidR="00000000" w:rsidDel="00000000" w:rsidP="00000000" w:rsidRDefault="00000000" w:rsidRPr="00000000" w14:paraId="000000D5">
            <w:pPr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Grice, Tony. 2009.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Oxford English for Careers: Nursing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Oxford, UK: Oxford University Press.</w:t>
            </w:r>
          </w:p>
          <w:p w:rsidR="00000000" w:rsidDel="00000000" w:rsidP="00000000" w:rsidRDefault="00000000" w:rsidRPr="00000000" w14:paraId="000000D6">
            <w:pPr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Krois-Lindner, Amy.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International Legal English: A Course for Classroom or Self-Study 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Cambridge, UK: Cambridge University Press.</w:t>
            </w:r>
          </w:p>
          <w:p w:rsidR="00000000" w:rsidDel="00000000" w:rsidP="00000000" w:rsidRDefault="00000000" w:rsidRPr="00000000" w14:paraId="000000D7">
            <w:pPr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McCarter, Sam. 2009, 2010.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Oxford English for Careers: Medicine 1,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Oxford, UK: Oxford University Press.</w:t>
            </w:r>
          </w:p>
          <w:p w:rsidR="00000000" w:rsidDel="00000000" w:rsidP="00000000" w:rsidRDefault="00000000" w:rsidRPr="00000000" w14:paraId="000000D8">
            <w:pPr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Sierocka, Halina. 2014.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Legal English – Niezbędnik przyszłego prawnika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C.H. Beck.</w:t>
            </w:r>
          </w:p>
          <w:p w:rsidR="00000000" w:rsidDel="00000000" w:rsidP="00000000" w:rsidRDefault="00000000" w:rsidRPr="00000000" w14:paraId="000000D9">
            <w:pPr>
              <w:spacing w:after="120" w:before="120" w:line="240" w:lineRule="auto"/>
              <w:ind w:left="122" w:right="0" w:hanging="122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Sweeney, Simon.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Test Your Professional English – Marketing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Harlow, UK: Pearson Education Limited.</w:t>
            </w:r>
          </w:p>
          <w:p w:rsidR="00000000" w:rsidDel="00000000" w:rsidP="00000000" w:rsidRDefault="00000000" w:rsidRPr="00000000" w14:paraId="000000DA">
            <w:pPr>
              <w:spacing w:after="120" w:before="120" w:line="240" w:lineRule="auto"/>
              <w:ind w:left="122" w:right="0" w:hanging="122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Walker, Robin, and Keith Harding. 2009.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Oxford English for Careers: Tourism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 Oxford, UK: Oxford University Press.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1"/>
        <w:tabs>
          <w:tab w:val="left" w:leader="none" w:pos="709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uH6q98hkl7H5VqxxavDgSenog==">CgMxLjA4AHIhMXEyLUx4aGRLQjBTeHZzamRCUVBSWXNhQnhMb1RKeWx6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