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</w:p>
    <w:p w:rsidR="00000000" w:rsidDel="00000000" w:rsidP="00000000" w:rsidRDefault="00000000" w:rsidRPr="00000000" w14:paraId="00000003">
      <w:pPr>
        <w:spacing w:after="200" w:line="276" w:lineRule="auto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14.0" w:type="dxa"/>
        <w:jc w:val="left"/>
        <w:tblInd w:w="36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08"/>
        <w:gridCol w:w="4506"/>
        <w:tblGridChange w:id="0">
          <w:tblGrid>
            <w:gridCol w:w="4508"/>
            <w:gridCol w:w="45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Teksty kultury angielskiego obszaru językowego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Culture-based texts in English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4.0" w:type="dxa"/>
        <w:jc w:val="left"/>
        <w:tblInd w:w="36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08"/>
        <w:gridCol w:w="4506"/>
        <w:tblGridChange w:id="0">
          <w:tblGrid>
            <w:gridCol w:w="4508"/>
            <w:gridCol w:w="45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 Dominika Bugno-Narecka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4.0" w:type="dxa"/>
        <w:jc w:val="left"/>
        <w:tblInd w:w="36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67"/>
        <w:gridCol w:w="2267"/>
        <w:gridCol w:w="2268"/>
        <w:gridCol w:w="2262"/>
        <w:tblGridChange w:id="0">
          <w:tblGrid>
            <w:gridCol w:w="2267"/>
            <w:gridCol w:w="2267"/>
            <w:gridCol w:w="2268"/>
            <w:gridCol w:w="22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0.0" w:type="dxa"/>
        <w:jc w:val="left"/>
        <w:tblInd w:w="36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4"/>
        <w:gridCol w:w="6976"/>
        <w:tblGridChange w:id="0">
          <w:tblGrid>
            <w:gridCol w:w="2234"/>
            <w:gridCol w:w="6976"/>
          </w:tblGrid>
        </w:tblGridChange>
      </w:tblGrid>
      <w:tr>
        <w:trPr>
          <w:cantSplit w:val="0"/>
          <w:trHeight w:val="96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Dobra znajomość języka angielskiego (B2+/C1). </w:t>
              <w:br w:type="textWrapping"/>
              <w:t xml:space="preserve">2. Ogólna znajomość kultury i literatury angielskiego obszaru językowego. </w:t>
              <w:br w:type="textWrapping"/>
              <w:t xml:space="preserve">3. Ogólna znajomość historii krajów angielskiego obszaru językowego. </w:t>
            </w:r>
          </w:p>
        </w:tc>
      </w:tr>
    </w:tbl>
    <w:p w:rsidR="00000000" w:rsidDel="00000000" w:rsidP="00000000" w:rsidRDefault="00000000" w:rsidRPr="00000000" w14:paraId="0000005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1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1086" w:right="0" w:hanging="72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36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Umiejętność analizy i interpretacji tekstów kultury angielskiego obszaru językowego. 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Przygotowanie metodologiczne i językowe do analizy tekstów kultury (literatury, sztuki, filmu, blogów, reklam, mediów społecznościowych).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Poznanie wybranych tekstów kultury angielskiego obszaru językowego.</w:t>
            </w:r>
          </w:p>
        </w:tc>
      </w:tr>
    </w:tbl>
    <w:p w:rsidR="00000000" w:rsidDel="00000000" w:rsidP="00000000" w:rsidRDefault="00000000" w:rsidRPr="00000000" w14:paraId="00000057">
      <w:pPr>
        <w:widowControl w:val="0"/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1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1086" w:right="0" w:hanging="72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840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55"/>
        <w:gridCol w:w="5709"/>
        <w:gridCol w:w="2076"/>
        <w:tblGridChange w:id="0">
          <w:tblGrid>
            <w:gridCol w:w="1055"/>
            <w:gridCol w:w="5709"/>
            <w:gridCol w:w="2076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8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charakteryzuje szczegółowe zagadnienia z wybranych teorii kulturowych i literaturoznawczych omawianych podczas kursu.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K_W04,  K_W07,  K_W08, K_W09</w:t>
            </w:r>
          </w:p>
        </w:tc>
      </w:tr>
      <w:tr>
        <w:trPr>
          <w:cantSplit w:val="0"/>
          <w:trHeight w:val="9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8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rozróżnia zaawansowane metody analizy i interpretacji tekstów kultury właściwe dla wybranych tradycji, teorii i szkół badawczych we współczesnym literaturoznawstwie.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K_W04, K_W07, K_W08, K_W09</w:t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wyjaśnia społeczno-historyczne i kulturowe procesy, które wpływają na rozumienie i kształtowanie tekstów kultury.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K_W07,  K_W08,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dokonuje krytycznej analizy tekstów kultury w oparciu o wybrane zagadnienia teoretyczne.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K_U02,  K_U04, K_U07, K_U09,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przedstawia własne poglądy o wytworze kultury w ramach wypowiedzi ustnej, argumentując na rzecz proponowanej przez siebie interpretacji.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K_U02,  K_U04, K_U07, K_U09,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posiada pogłębione umiejętności badawcze, obejmujące syntezę różnych idei i poglądów.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K_U02, K_U07,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formułuje krytyczne opinie o tekstach kultury.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wykazuje się otwartością wobec nowych zjawisk w kulturze współczesnej.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</w:t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p w:rsidR="00000000" w:rsidDel="00000000" w:rsidP="00000000" w:rsidRDefault="00000000" w:rsidRPr="00000000" w14:paraId="0000007F">
      <w:pPr>
        <w:widowControl w:val="0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 trakcie zajęć będziemy analizować teksty kultury angielskiego obszaru językowego za pomocą współczesnych teorii kultury i mediów. Zajmiemy się określeniem miejsca i znaczenia wytworów kultury z zakresu literatury, sztuki, filmu, telewizji, blogów, reklam, mediów społecznościowych. Będziemy chcieli przyjrzeć się temu w jaki sposób różne media przekazują dane treści, co wynika z łączenia mediów o różnej charakterystyce oraz jak można manipulować treścią w zależności od wybranego medium. Lista poruszanych tematów uwzględnia, lecz nie ogranicza się do następujących zagadnień:</w:t>
      </w:r>
    </w:p>
    <w:p w:rsidR="00000000" w:rsidDel="00000000" w:rsidP="00000000" w:rsidRDefault="00000000" w:rsidRPr="00000000" w14:paraId="00000080">
      <w:pPr>
        <w:widowControl w:val="0"/>
        <w:spacing w:before="240" w:line="240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zdefiniowania kultury, tekstu kultury, medium</w:t>
      </w:r>
    </w:p>
    <w:p w:rsidR="00000000" w:rsidDel="00000000" w:rsidP="00000000" w:rsidRDefault="00000000" w:rsidRPr="00000000" w14:paraId="00000081">
      <w:pPr>
        <w:widowControl w:val="0"/>
        <w:spacing w:before="240" w:line="240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convergence culture and transmedia storytelling</w:t>
      </w:r>
    </w:p>
    <w:p w:rsidR="00000000" w:rsidDel="00000000" w:rsidP="00000000" w:rsidRDefault="00000000" w:rsidRPr="00000000" w14:paraId="00000082">
      <w:pPr>
        <w:widowControl w:val="0"/>
        <w:spacing w:before="240" w:line="240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intertextuality, intermediality, multimodality</w:t>
      </w:r>
    </w:p>
    <w:p w:rsidR="00000000" w:rsidDel="00000000" w:rsidP="00000000" w:rsidRDefault="00000000" w:rsidRPr="00000000" w14:paraId="00000083">
      <w:pPr>
        <w:widowControl w:val="0"/>
        <w:spacing w:before="240" w:line="240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forensic imagination, detective stories</w:t>
      </w:r>
    </w:p>
    <w:p w:rsidR="00000000" w:rsidDel="00000000" w:rsidP="00000000" w:rsidRDefault="00000000" w:rsidRPr="00000000" w14:paraId="00000084">
      <w:pPr>
        <w:widowControl w:val="0"/>
        <w:spacing w:before="240" w:line="240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society of spectacle, theatre</w:t>
      </w:r>
    </w:p>
    <w:p w:rsidR="00000000" w:rsidDel="00000000" w:rsidP="00000000" w:rsidRDefault="00000000" w:rsidRPr="00000000" w14:paraId="00000085">
      <w:pPr>
        <w:widowControl w:val="0"/>
        <w:spacing w:before="240" w:line="240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social media, TV news, memes,</w:t>
      </w:r>
    </w:p>
    <w:p w:rsidR="00000000" w:rsidDel="00000000" w:rsidP="00000000" w:rsidRDefault="00000000" w:rsidRPr="00000000" w14:paraId="00000086">
      <w:pPr>
        <w:widowControl w:val="0"/>
        <w:spacing w:before="240" w:line="240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historiographic metaficiton</w:t>
      </w:r>
    </w:p>
    <w:p w:rsidR="00000000" w:rsidDel="00000000" w:rsidP="00000000" w:rsidRDefault="00000000" w:rsidRPr="00000000" w14:paraId="00000087">
      <w:pPr>
        <w:widowControl w:val="0"/>
        <w:spacing w:before="240" w:line="240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graphic novel</w:t>
      </w:r>
    </w:p>
    <w:p w:rsidR="00000000" w:rsidDel="00000000" w:rsidP="00000000" w:rsidRDefault="00000000" w:rsidRPr="00000000" w14:paraId="00000088">
      <w:pPr>
        <w:widowControl w:val="0"/>
        <w:spacing w:before="240" w:line="240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museum vs. cabinet of curiosities</w:t>
      </w:r>
    </w:p>
    <w:p w:rsidR="00000000" w:rsidDel="00000000" w:rsidP="00000000" w:rsidRDefault="00000000" w:rsidRPr="00000000" w14:paraId="00000089">
      <w:pPr>
        <w:widowControl w:val="0"/>
        <w:spacing w:before="240" w:line="240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utopia, dystopia, antiutopia (re)mediated</w:t>
      </w:r>
    </w:p>
    <w:p w:rsidR="00000000" w:rsidDel="00000000" w:rsidP="00000000" w:rsidRDefault="00000000" w:rsidRPr="00000000" w14:paraId="0000008A">
      <w:pPr>
        <w:widowControl w:val="0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2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7"/>
        <w:tblW w:w="905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2"/>
        <w:gridCol w:w="2645"/>
        <w:gridCol w:w="2788"/>
        <w:gridCol w:w="2539"/>
        <w:tblGridChange w:id="0">
          <w:tblGrid>
            <w:gridCol w:w="1082"/>
            <w:gridCol w:w="2645"/>
            <w:gridCol w:w="2788"/>
            <w:gridCol w:w="2539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09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tekstami kultury, mini-wykład konwersatoryjny, dyskusja, metoda metaplanu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prezentacja, odpowiedź ustna, esej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plik z prezentacją, oceniony plik z esejem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Mini-wykład konwersatoryjny, praca z tekstem kultury, dyskusja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prezentacja, odpowiedź ustna, esej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Plik z prezentacją, zapis w arkuszu ocen, oceniony plik z esejem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 kultury, dyskusja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prezentacja, odpowiedź ustna, esej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plik z prezentacją, oceniony plik z esejem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kultury, dyskusja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Prezentacja, esej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Plik z esejem, plik z prezentacją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kultury, dyskusja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ustna, obserwacja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kultury, dyskusja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ustna, obserwacja, prezentacja, esej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plik z prezentacją, oceniony plik z esejem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rozmowa sokratyczna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ustna, obserwacja, prezentacja, esej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plik z prezentacją, oceniony plik z esejem</w:t>
            </w:r>
          </w:p>
        </w:tc>
      </w:tr>
      <w:tr>
        <w:trPr>
          <w:cantSplit w:val="0"/>
          <w:trHeight w:val="102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praca w grupach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ustna, obserwacja, prezentacja, esej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Plik z prezentacją, oceniony plik z esejem</w:t>
            </w:r>
          </w:p>
        </w:tc>
      </w:tr>
    </w:tbl>
    <w:p w:rsidR="00000000" w:rsidDel="00000000" w:rsidP="00000000" w:rsidRDefault="00000000" w:rsidRPr="00000000" w14:paraId="000000C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</w:t>
      </w:r>
      <w:r w:rsidDel="00000000" w:rsidR="00000000" w:rsidRPr="00000000">
        <w:rPr>
          <w:sz w:val="22"/>
          <w:szCs w:val="22"/>
          <w:rtl w:val="0"/>
        </w:rPr>
        <w:t xml:space="preserve"> </w:t>
        <w:tab/>
        <w:t xml:space="preserve"> </w:t>
        <w:tab/>
      </w:r>
    </w:p>
    <w:p w:rsidR="00000000" w:rsidDel="00000000" w:rsidP="00000000" w:rsidRDefault="00000000" w:rsidRPr="00000000" w14:paraId="000000C2">
      <w:pPr>
        <w:keepNext w:val="1"/>
        <w:shd w:fill="ffffff" w:val="clear"/>
        <w:rPr/>
      </w:pPr>
      <w:r w:rsidDel="00000000" w:rsidR="00000000" w:rsidRPr="00000000">
        <w:rPr>
          <w:rtl w:val="0"/>
        </w:rPr>
        <w:t xml:space="preserve">- uczestnictwo w zajęciach i przygotowanie do zajęć (czytanie zadanych tekstów, zabieranie głosu  w dyskusji w trakcie zajęć, realizacja innych zadań zleconych przez Prowadzącą) – 20% oceny końcowej</w:t>
      </w:r>
    </w:p>
    <w:p w:rsidR="00000000" w:rsidDel="00000000" w:rsidP="00000000" w:rsidRDefault="00000000" w:rsidRPr="00000000" w14:paraId="000000C3">
      <w:pPr>
        <w:keepNext w:val="1"/>
        <w:shd w:fill="ffffff" w:val="clear"/>
        <w:spacing w:before="240" w:lineRule="auto"/>
        <w:rPr/>
      </w:pPr>
      <w:r w:rsidDel="00000000" w:rsidR="00000000" w:rsidRPr="00000000">
        <w:rPr>
          <w:rtl w:val="0"/>
        </w:rPr>
        <w:t xml:space="preserve">- projekt semestralny – każdy uczestnik kursu przygotowuje projekt zaliczeniowy, który składa się z krótkiego opisu projektu w formie pisemnej (40% oceny końcowej) i prezentacji ustnej (40% oceny końcowej) – szczegóły projektu (tematy, terminy, procedury, szczegółowe kryteria poszczególnych etapów) zostaną przedstawione w oddzielnej instrukcji.</w:t>
      </w:r>
    </w:p>
    <w:p w:rsidR="00000000" w:rsidDel="00000000" w:rsidP="00000000" w:rsidRDefault="00000000" w:rsidRPr="00000000" w14:paraId="000000C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8"/>
        <w:tblW w:w="9210.0" w:type="dxa"/>
        <w:jc w:val="left"/>
        <w:tblInd w:w="36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5"/>
        <w:gridCol w:w="4605"/>
        <w:tblGridChange w:id="0">
          <w:tblGrid>
            <w:gridCol w:w="4605"/>
            <w:gridCol w:w="460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CC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257" w:right="0" w:hanging="2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9"/>
        <w:tblW w:w="9212.0" w:type="dxa"/>
        <w:jc w:val="left"/>
        <w:tblInd w:w="36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499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Campbell, Joseph.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Hero with a Thousand Faces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New York: Princeton, 1949. </w:t>
            </w:r>
          </w:p>
          <w:p w:rsidR="00000000" w:rsidDel="00000000" w:rsidP="00000000" w:rsidRDefault="00000000" w:rsidRPr="00000000" w14:paraId="000000D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Elleström, Lars.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Media Borders, Multimodality and Intermediality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Palgrave Macmillan, 2010.</w:t>
            </w:r>
          </w:p>
          <w:p w:rsidR="00000000" w:rsidDel="00000000" w:rsidP="00000000" w:rsidRDefault="00000000" w:rsidRPr="00000000" w14:paraId="000000D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Bredekamp, Horst.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Lure of Antiquity and the Cult of the Machine: The Kunnstkammer and the Evolution of Nature, Art and Technology.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Trans. Allison Brown. Princeton: Markus Wiener Publishers, 1995.</w:t>
            </w:r>
          </w:p>
          <w:p w:rsidR="00000000" w:rsidDel="00000000" w:rsidP="00000000" w:rsidRDefault="00000000" w:rsidRPr="00000000" w14:paraId="000000D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900" w:right="0" w:hanging="90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Burda, Hubert.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Digital Wunderkammer: 10 Chapters on the Iconic Turn.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Munich: Petrarca Verlag, 2011.</w:t>
            </w:r>
          </w:p>
          <w:p w:rsidR="00000000" w:rsidDel="00000000" w:rsidP="00000000" w:rsidRDefault="00000000" w:rsidRPr="00000000" w14:paraId="000000D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911" w:right="0" w:hanging="90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Jenkins, Henry.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Convergence Culture: Where Old and New Media Collide.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York &amp; London: New York UP, 2006. Print.</w:t>
            </w:r>
          </w:p>
          <w:p w:rsidR="00000000" w:rsidDel="00000000" w:rsidP="00000000" w:rsidRDefault="00000000" w:rsidRPr="00000000" w14:paraId="000000D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900" w:right="0" w:hanging="90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Kirschenbaum, Matthew G.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Mechanisms: New Media and the Forensic Imagination.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Cambridge, MA &amp; London: The MIT Press, 2008.</w:t>
            </w:r>
          </w:p>
          <w:p w:rsidR="00000000" w:rsidDel="00000000" w:rsidP="00000000" w:rsidRDefault="00000000" w:rsidRPr="00000000" w14:paraId="000000D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557" w:right="0" w:hanging="5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Mitchell, W. J. 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Picture Theory.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Chicago &amp; London: The University of Chicago Press, 1994. </w:t>
            </w:r>
          </w:p>
          <w:p w:rsidR="00000000" w:rsidDel="00000000" w:rsidP="00000000" w:rsidRDefault="00000000" w:rsidRPr="00000000" w14:paraId="000000D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557" w:right="0" w:hanging="5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inne zaproponowane przez nauczyciela źródła, zwłaszcza utwory literatury angielskiej i amerykańskiej, podawane z wyprzedzeniem na zajęciach.</w:t>
            </w:r>
          </w:p>
        </w:tc>
      </w:tr>
    </w:tbl>
    <w:p w:rsidR="00000000" w:rsidDel="00000000" w:rsidP="00000000" w:rsidRDefault="00000000" w:rsidRPr="00000000" w14:paraId="000000D7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0"/>
        <w:tblW w:w="9212.0" w:type="dxa"/>
        <w:jc w:val="left"/>
        <w:tblInd w:w="36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245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Aercke, Kristiaan P.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Gods of Play: Baroque Festive Performances as Rhetorical Discourse.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Albany: State University of New York Press, 1994.</w:t>
            </w:r>
          </w:p>
          <w:p w:rsidR="00000000" w:rsidDel="00000000" w:rsidP="00000000" w:rsidRDefault="00000000" w:rsidRPr="00000000" w14:paraId="000000D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900" w:right="0" w:hanging="90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Bryson, Norman.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Vision and Painting: The Logic of the Gaze.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Haven &amp; London: Yale UP, 1983.</w:t>
            </w:r>
          </w:p>
          <w:p w:rsidR="00000000" w:rsidDel="00000000" w:rsidP="00000000" w:rsidRDefault="00000000" w:rsidRPr="00000000" w14:paraId="000000D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557" w:right="0" w:hanging="5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Mitchell, W. J. 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Iconology. Image, Text, Ideology.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Chicago &amp; London: The University of Chicago Press, 1987. Print. </w:t>
            </w:r>
          </w:p>
          <w:p w:rsidR="00000000" w:rsidDel="00000000" w:rsidP="00000000" w:rsidRDefault="00000000" w:rsidRPr="00000000" w14:paraId="000000D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911" w:right="0" w:hanging="90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Wagner, Peter (ed.).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Icons, Texts, Iconotexts: Essays on Ekphrasis and Intermediality.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Berlin, New York: Walter de Gruyter, 1996. Print.</w:t>
            </w:r>
          </w:p>
        </w:tc>
      </w:tr>
    </w:tbl>
    <w:p w:rsidR="00000000" w:rsidDel="00000000" w:rsidP="00000000" w:rsidRDefault="00000000" w:rsidRPr="00000000" w14:paraId="000000DD">
      <w:pPr>
        <w:widowControl w:val="0"/>
        <w:pBdr>
          <w:top w:space="0" w:sz="0" w:val="nil"/>
        </w:pBdr>
        <w:shd w:fill="ffffff" w:val="clea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jc w:val="right"/>
      <w:rPr>
        <w:i w:val="1"/>
        <w:sz w:val="22"/>
        <w:szCs w:val="22"/>
      </w:rPr>
    </w:pPr>
    <w:r w:rsidDel="00000000" w:rsidR="00000000" w:rsidRPr="00000000">
      <w:rPr>
        <w:i w:val="1"/>
        <w:sz w:val="22"/>
        <w:szCs w:val="22"/>
        <w:rtl w:val="0"/>
      </w:rPr>
      <w:t xml:space="preserve">Załącznik nr.5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upperRoman"/>
      <w:lvlText w:val="%1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4"/>
      <w:numFmt w:val="upperRoman"/>
      <w:lvlText w:val="%1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6"/>
      <w:numFmt w:val="upperRoman"/>
      <w:lvlText w:val="%1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2"/>
      <w:numFmt w:val="upperRoman"/>
      <w:lvlText w:val="%1."/>
      <w:lvlJc w:val="left"/>
      <w:pPr>
        <w:ind w:left="1086" w:hanging="726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3" w:hanging="362.9999999999998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3" w:hanging="311.9999999999998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3" w:hanging="363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3" w:hanging="363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3" w:hanging="31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3" w:hanging="363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3" w:hanging="36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3" w:hanging="312.0000000000009"/>
      </w:pPr>
      <w:rPr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3"/>
      <w:numFmt w:val="upperRoman"/>
      <w:lvlText w:val="%1."/>
      <w:lvlJc w:val="left"/>
      <w:pPr>
        <w:ind w:left="1086" w:hanging="726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3" w:hanging="362.9999999999998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3" w:hanging="311.9999999999998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3" w:hanging="363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3" w:hanging="363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3" w:hanging="31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3" w:hanging="363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3" w:hanging="36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3" w:hanging="312.0000000000009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keepNext w:val="1"/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BodyA" w:customStyle="1">
    <w:name w:val="Body A"/>
    <w:pPr>
      <w:keepNext w:val="1"/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keepNext w:val="1"/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paragraph" w:styleId="Default" w:customStyle="1">
    <w:name w:val="Default"/>
    <w:rPr>
      <w:rFonts w:ascii="Helvetica Neue" w:cs="Helvetica Neue" w:eastAsia="Helvetica Neue" w:hAnsi="Helvetica Neue"/>
      <w:color w:val="000000"/>
      <w:sz w:val="22"/>
      <w:szCs w:val="22"/>
      <w:u w:color="ffffff"/>
      <w:lang w:val="es-ES_tradnl"/>
    </w:rPr>
  </w:style>
  <w:style w:type="paragraph" w:styleId="BodyB" w:customStyle="1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styleId="Body" w:customStyle="1">
    <w:name w:val="Body"/>
    <w:rPr>
      <w:rFonts w:cs="Arial Unicode MS"/>
      <w:color w:val="000000"/>
      <w:sz w:val="24"/>
      <w:szCs w:val="24"/>
      <w:u w:color="ffffff"/>
      <w:lang w:val="en-US"/>
    </w:rPr>
  </w:style>
  <w:style w:type="numbering" w:styleId="ImportedStyle4" w:customStyle="1">
    <w:name w:val="Imported Style 4"/>
    <w:pPr>
      <w:numPr>
        <w:numId w:val="11"/>
      </w:numPr>
    </w:pPr>
  </w:style>
  <w:style w:type="numbering" w:styleId="ImportedStyle5" w:customStyle="1">
    <w:name w:val="Imported Style 5"/>
    <w:pPr>
      <w:numPr>
        <w:numId w:val="14"/>
      </w:numPr>
    </w:pPr>
  </w:style>
  <w:style w:type="numbering" w:styleId="ImportedStyle6" w:customStyle="1">
    <w:name w:val="Imported Style 6"/>
    <w:pPr>
      <w:numPr>
        <w:numId w:val="17"/>
      </w:numPr>
    </w:pPr>
  </w:style>
  <w:style w:type="numbering" w:styleId="ImportedStyle7" w:customStyle="1">
    <w:name w:val="Imported Style 7"/>
    <w:pPr>
      <w:numPr>
        <w:numId w:val="20"/>
      </w:numPr>
    </w:pPr>
  </w:style>
  <w:style w:type="paragraph" w:styleId="Tekstprzypisudolnego">
    <w:name w:val="footnote text"/>
    <w:pPr>
      <w:keepNext w:val="1"/>
      <w:shd w:color="auto" w:fill="ffffff" w:val="clear"/>
      <w:spacing w:line="276" w:lineRule="auto"/>
      <w:ind w:left="339" w:hanging="339"/>
    </w:pPr>
    <w:rPr>
      <w:rFonts w:ascii="Calibri" w:cs="Calibri" w:eastAsia="Calibri" w:hAnsi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841830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841830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e/0LkueD/NaAozJyfrs0AoRjWw==">CgMxLjAyCGguZ2pkZ3hzOAByITFldzNaT1l5SlV1NG9WalEtcnd6OHJHRGxuRjRuVzVncA==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2021-09-22T12:16:00Z</dcterms:created>
</cp:coreProperties>
</file>